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9FDAE" w14:textId="11C0A300" w:rsidR="00EE41E6" w:rsidRDefault="00E33291">
      <w:pPr>
        <w:pStyle w:val="Title"/>
      </w:pPr>
      <w:r>
        <w:t>20</w:t>
      </w:r>
      <w:r w:rsidR="00D467C8">
        <w:t>20</w:t>
      </w:r>
      <w:r>
        <w:t xml:space="preserve"> point-in-time count</w:t>
      </w:r>
      <w:r w:rsidR="00EE41E6">
        <w:t xml:space="preserve"> </w:t>
      </w:r>
    </w:p>
    <w:p w14:paraId="51C5CBDC" w14:textId="77777777" w:rsidR="00D32139" w:rsidRDefault="00E33291">
      <w:pPr>
        <w:pStyle w:val="Title"/>
      </w:pPr>
      <w:r>
        <w:t>standards for counting youth</w:t>
      </w:r>
      <w:r w:rsidR="00EE41E6">
        <w:t xml:space="preserve"> for pennsylvania’s balance of state cocs</w:t>
      </w:r>
    </w:p>
    <w:p w14:paraId="2C2A93FC" w14:textId="77777777" w:rsidR="00170BCD" w:rsidRPr="00683C5F" w:rsidRDefault="00E66388" w:rsidP="00170BCD">
      <w:pPr>
        <w:pStyle w:val="Heading1"/>
        <w:spacing w:before="0"/>
        <w:rPr>
          <w:sz w:val="16"/>
          <w:szCs w:val="16"/>
          <w:u w:val="single"/>
        </w:rPr>
      </w:pPr>
      <w:r w:rsidRPr="00E82672">
        <w:rPr>
          <w:b w:val="0"/>
          <w:noProof/>
          <w:sz w:val="24"/>
          <w:lang w:eastAsia="en-US"/>
        </w:rPr>
        <mc:AlternateContent>
          <mc:Choice Requires="wps">
            <w:drawing>
              <wp:anchor distT="45720" distB="45720" distL="114300" distR="114300" simplePos="0" relativeHeight="251659264" behindDoc="0" locked="0" layoutInCell="1" allowOverlap="1" wp14:anchorId="0BD99C61" wp14:editId="3650DB14">
                <wp:simplePos x="0" y="0"/>
                <wp:positionH relativeFrom="column">
                  <wp:posOffset>0</wp:posOffset>
                </wp:positionH>
                <wp:positionV relativeFrom="paragraph">
                  <wp:posOffset>200025</wp:posOffset>
                </wp:positionV>
                <wp:extent cx="600075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solidFill>
                          <a:srgbClr val="FFFFFF"/>
                        </a:solidFill>
                        <a:ln w="9525">
                          <a:solidFill>
                            <a:srgbClr val="000000"/>
                          </a:solidFill>
                          <a:miter lim="800000"/>
                          <a:headEnd/>
                          <a:tailEnd/>
                        </a:ln>
                      </wps:spPr>
                      <wps:txbx>
                        <w:txbxContent>
                          <w:p w14:paraId="3EDF735F" w14:textId="77777777" w:rsidR="00E82672" w:rsidRPr="00FF02D0" w:rsidRDefault="00E82672" w:rsidP="00E82672">
                            <w:pPr>
                              <w:rPr>
                                <w:rFonts w:ascii="Courier New" w:hAnsi="Courier New" w:cs="Courier New"/>
                                <w:b/>
                                <w:color w:val="auto"/>
                                <w:sz w:val="20"/>
                              </w:rPr>
                            </w:pPr>
                            <w:r w:rsidRPr="00FF02D0">
                              <w:rPr>
                                <w:rFonts w:ascii="Courier New" w:hAnsi="Courier New" w:cs="Courier New"/>
                                <w:b/>
                                <w:color w:val="auto"/>
                                <w:sz w:val="20"/>
                                <w:u w:val="single"/>
                              </w:rPr>
                              <w:t>Youth</w:t>
                            </w:r>
                            <w:r w:rsidR="00C62CD1" w:rsidRPr="00FF02D0">
                              <w:rPr>
                                <w:rFonts w:ascii="Courier New" w:hAnsi="Courier New" w:cs="Courier New"/>
                                <w:b/>
                                <w:color w:val="auto"/>
                                <w:sz w:val="20"/>
                                <w:u w:val="single"/>
                              </w:rPr>
                              <w:t xml:space="preserve"> (defined)</w:t>
                            </w:r>
                            <w:r w:rsidRPr="00FF02D0">
                              <w:rPr>
                                <w:rFonts w:ascii="Courier New" w:hAnsi="Courier New" w:cs="Courier New"/>
                                <w:b/>
                                <w:color w:val="auto"/>
                                <w:sz w:val="20"/>
                              </w:rPr>
                              <w:t xml:space="preserve">:  </w:t>
                            </w:r>
                          </w:p>
                          <w:p w14:paraId="1D59D603" w14:textId="77777777" w:rsidR="00E82672" w:rsidRPr="00FF02D0" w:rsidRDefault="00E82672" w:rsidP="00E82672">
                            <w:pPr>
                              <w:rPr>
                                <w:rFonts w:ascii="Courier New" w:hAnsi="Courier New" w:cs="Courier New"/>
                                <w:b/>
                                <w:color w:val="auto"/>
                                <w:sz w:val="20"/>
                              </w:rPr>
                            </w:pPr>
                            <w:r w:rsidRPr="00FF02D0">
                              <w:rPr>
                                <w:rFonts w:ascii="Courier New" w:hAnsi="Courier New" w:cs="Courier New"/>
                                <w:b/>
                                <w:color w:val="auto"/>
                                <w:sz w:val="20"/>
                              </w:rPr>
                              <w:t xml:space="preserve">A household with no household members over age 24.  </w:t>
                            </w:r>
                            <w:r w:rsidR="00170BCD" w:rsidRPr="00FF02D0">
                              <w:rPr>
                                <w:rFonts w:ascii="Courier New" w:hAnsi="Courier New" w:cs="Courier New"/>
                                <w:b/>
                                <w:color w:val="auto"/>
                                <w:sz w:val="20"/>
                              </w:rPr>
                              <w:t xml:space="preserve">A youth household </w:t>
                            </w:r>
                            <w:r w:rsidRPr="00FF02D0">
                              <w:rPr>
                                <w:rFonts w:ascii="Courier New" w:hAnsi="Courier New" w:cs="Courier New"/>
                                <w:b/>
                                <w:color w:val="auto"/>
                                <w:sz w:val="20"/>
                              </w:rPr>
                              <w:t>includes:</w:t>
                            </w:r>
                          </w:p>
                          <w:p w14:paraId="1A73E40B" w14:textId="77777777" w:rsidR="00E82672" w:rsidRPr="00FF02D0" w:rsidRDefault="00E82672" w:rsidP="00AD1B77">
                            <w:pPr>
                              <w:pStyle w:val="ListParagraph"/>
                              <w:numPr>
                                <w:ilvl w:val="0"/>
                                <w:numId w:val="11"/>
                              </w:numPr>
                              <w:rPr>
                                <w:rFonts w:ascii="Courier New" w:hAnsi="Courier New" w:cs="Courier New"/>
                                <w:b/>
                                <w:color w:val="auto"/>
                                <w:sz w:val="20"/>
                              </w:rPr>
                            </w:pPr>
                            <w:r w:rsidRPr="00FF02D0">
                              <w:rPr>
                                <w:rFonts w:ascii="Courier New" w:hAnsi="Courier New" w:cs="Courier New"/>
                                <w:b/>
                                <w:color w:val="auto"/>
                                <w:sz w:val="20"/>
                              </w:rPr>
                              <w:t>Children under age 18 who are living without a parent/guardian</w:t>
                            </w:r>
                          </w:p>
                          <w:p w14:paraId="6B004140" w14:textId="77777777" w:rsidR="00170BCD" w:rsidRPr="00FF02D0" w:rsidRDefault="00E82672" w:rsidP="00AD1B77">
                            <w:pPr>
                              <w:pStyle w:val="ListParagraph"/>
                              <w:numPr>
                                <w:ilvl w:val="0"/>
                                <w:numId w:val="11"/>
                              </w:numPr>
                              <w:rPr>
                                <w:rFonts w:ascii="Courier New" w:hAnsi="Courier New" w:cs="Courier New"/>
                                <w:b/>
                                <w:color w:val="auto"/>
                                <w:sz w:val="20"/>
                              </w:rPr>
                            </w:pPr>
                            <w:r w:rsidRPr="00FF02D0">
                              <w:rPr>
                                <w:rFonts w:ascii="Courier New" w:hAnsi="Courier New" w:cs="Courier New"/>
                                <w:b/>
                                <w:color w:val="auto"/>
                                <w:sz w:val="20"/>
                              </w:rPr>
                              <w:t>Unaccompanied i</w:t>
                            </w:r>
                            <w:r w:rsidR="0090058C" w:rsidRPr="00FF02D0">
                              <w:rPr>
                                <w:rFonts w:ascii="Courier New" w:hAnsi="Courier New" w:cs="Courier New"/>
                                <w:b/>
                                <w:color w:val="auto"/>
                                <w:sz w:val="20"/>
                              </w:rPr>
                              <w:t>ndividuals age</w:t>
                            </w:r>
                            <w:r w:rsidRPr="00FF02D0">
                              <w:rPr>
                                <w:rFonts w:ascii="Courier New" w:hAnsi="Courier New" w:cs="Courier New"/>
                                <w:b/>
                                <w:color w:val="auto"/>
                                <w:sz w:val="20"/>
                              </w:rPr>
                              <w:t>d</w:t>
                            </w:r>
                            <w:r w:rsidR="0090058C" w:rsidRPr="00FF02D0">
                              <w:rPr>
                                <w:rFonts w:ascii="Courier New" w:hAnsi="Courier New" w:cs="Courier New"/>
                                <w:b/>
                                <w:color w:val="auto"/>
                                <w:sz w:val="20"/>
                              </w:rPr>
                              <w:t xml:space="preserve"> 24 </w:t>
                            </w:r>
                            <w:r w:rsidRPr="00FF02D0">
                              <w:rPr>
                                <w:rFonts w:ascii="Courier New" w:hAnsi="Courier New" w:cs="Courier New"/>
                                <w:b/>
                                <w:color w:val="auto"/>
                                <w:sz w:val="20"/>
                              </w:rPr>
                              <w:t xml:space="preserve">and below </w:t>
                            </w:r>
                          </w:p>
                          <w:p w14:paraId="03D42A7E" w14:textId="77777777" w:rsidR="00E82672" w:rsidRPr="00FF02D0" w:rsidRDefault="00170BCD" w:rsidP="00AD1B77">
                            <w:pPr>
                              <w:pStyle w:val="ListParagraph"/>
                              <w:numPr>
                                <w:ilvl w:val="0"/>
                                <w:numId w:val="11"/>
                              </w:numPr>
                              <w:rPr>
                                <w:rFonts w:ascii="Courier New" w:hAnsi="Courier New" w:cs="Courier New"/>
                                <w:b/>
                                <w:color w:val="auto"/>
                                <w:sz w:val="20"/>
                              </w:rPr>
                            </w:pPr>
                            <w:r w:rsidRPr="00FF02D0">
                              <w:rPr>
                                <w:rFonts w:ascii="Courier New" w:hAnsi="Courier New" w:cs="Courier New"/>
                                <w:b/>
                                <w:color w:val="auto"/>
                                <w:sz w:val="20"/>
                              </w:rPr>
                              <w:t xml:space="preserve">Two or more individuals aged 24 or below living in a household with no other person </w:t>
                            </w:r>
                            <w:r w:rsidR="00C62CD1" w:rsidRPr="00FF02D0">
                              <w:rPr>
                                <w:rFonts w:ascii="Courier New" w:hAnsi="Courier New" w:cs="Courier New"/>
                                <w:b/>
                                <w:color w:val="auto"/>
                                <w:sz w:val="20"/>
                              </w:rPr>
                              <w:t>over age</w:t>
                            </w:r>
                            <w:r w:rsidR="00E82672" w:rsidRPr="00FF02D0">
                              <w:rPr>
                                <w:rFonts w:ascii="Courier New" w:hAnsi="Courier New" w:cs="Courier New"/>
                                <w:b/>
                                <w:color w:val="auto"/>
                                <w:sz w:val="20"/>
                              </w:rPr>
                              <w:t xml:space="preserve"> 24 </w:t>
                            </w:r>
                          </w:p>
                          <w:p w14:paraId="7D6EC929" w14:textId="77777777" w:rsidR="009B65EC" w:rsidRPr="00FF02D0" w:rsidRDefault="0090058C" w:rsidP="00AD1B77">
                            <w:pPr>
                              <w:pStyle w:val="ListParagraph"/>
                              <w:numPr>
                                <w:ilvl w:val="0"/>
                                <w:numId w:val="11"/>
                              </w:numPr>
                              <w:rPr>
                                <w:rFonts w:ascii="Courier New" w:hAnsi="Courier New" w:cs="Courier New"/>
                                <w:b/>
                                <w:color w:val="auto"/>
                                <w:sz w:val="20"/>
                              </w:rPr>
                            </w:pPr>
                            <w:r w:rsidRPr="00FF02D0">
                              <w:rPr>
                                <w:rFonts w:ascii="Courier New" w:hAnsi="Courier New" w:cs="Courier New"/>
                                <w:b/>
                                <w:color w:val="auto"/>
                                <w:sz w:val="20"/>
                              </w:rPr>
                              <w:t xml:space="preserve">Individuals </w:t>
                            </w:r>
                            <w:r w:rsidR="00C62CD1" w:rsidRPr="00FF02D0">
                              <w:rPr>
                                <w:rFonts w:ascii="Courier New" w:hAnsi="Courier New" w:cs="Courier New"/>
                                <w:b/>
                                <w:color w:val="auto"/>
                                <w:sz w:val="20"/>
                              </w:rPr>
                              <w:t xml:space="preserve">aged 24 and below </w:t>
                            </w:r>
                            <w:r w:rsidRPr="00FF02D0">
                              <w:rPr>
                                <w:rFonts w:ascii="Courier New" w:hAnsi="Courier New" w:cs="Courier New"/>
                                <w:b/>
                                <w:color w:val="auto"/>
                                <w:sz w:val="20"/>
                              </w:rPr>
                              <w:t>with their o</w:t>
                            </w:r>
                            <w:r w:rsidR="00170BCD" w:rsidRPr="00FF02D0">
                              <w:rPr>
                                <w:rFonts w:ascii="Courier New" w:hAnsi="Courier New" w:cs="Courier New"/>
                                <w:b/>
                                <w:color w:val="auto"/>
                                <w:sz w:val="20"/>
                              </w:rPr>
                              <w:t>wn children (“Parenting Youth”)</w:t>
                            </w:r>
                          </w:p>
                          <w:p w14:paraId="1E281C3D" w14:textId="77777777" w:rsidR="00E82672" w:rsidRPr="00170BCD" w:rsidRDefault="00E82672">
                            <w:pPr>
                              <w:rPr>
                                <w:color w:val="auto"/>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75pt;width:472.5pt;height:14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">
                <v:textbox>
                  <w:txbxContent>
                    <w:p w:rsidR="00E82672" w:rsidRPr="00FF02D0" w:rsidRDefault="00E82672" w:rsidP="00E82672">
                      <w:pPr>
                        <w:rPr>
                          <w:rFonts w:ascii="Courier New" w:hAnsi="Courier New" w:cs="Courier New"/>
                          <w:b/>
                          <w:color w:val="auto"/>
                          <w:sz w:val="20"/>
                        </w:rPr>
                      </w:pPr>
                      <w:r w:rsidRPr="00FF02D0">
                        <w:rPr>
                          <w:rFonts w:ascii="Courier New" w:hAnsi="Courier New" w:cs="Courier New"/>
                          <w:b/>
                          <w:color w:val="auto"/>
                          <w:sz w:val="20"/>
                          <w:u w:val="single"/>
                        </w:rPr>
                        <w:t>Youth</w:t>
                      </w:r>
                      <w:r w:rsidR="00C62CD1" w:rsidRPr="00FF02D0">
                        <w:rPr>
                          <w:rFonts w:ascii="Courier New" w:hAnsi="Courier New" w:cs="Courier New"/>
                          <w:b/>
                          <w:color w:val="auto"/>
                          <w:sz w:val="20"/>
                          <w:u w:val="single"/>
                        </w:rPr>
                        <w:t xml:space="preserve"> (defined)</w:t>
                      </w:r>
                      <w:r w:rsidRPr="00FF02D0">
                        <w:rPr>
                          <w:rFonts w:ascii="Courier New" w:hAnsi="Courier New" w:cs="Courier New"/>
                          <w:b/>
                          <w:color w:val="auto"/>
                          <w:sz w:val="20"/>
                        </w:rPr>
                        <w:t xml:space="preserve">:  </w:t>
                      </w:r>
                    </w:p>
                    <w:p w:rsidR="00E82672" w:rsidRPr="00FF02D0" w:rsidRDefault="00E82672" w:rsidP="00E82672">
                      <w:pPr>
                        <w:rPr>
                          <w:rFonts w:ascii="Courier New" w:hAnsi="Courier New" w:cs="Courier New"/>
                          <w:b/>
                          <w:color w:val="auto"/>
                          <w:sz w:val="20"/>
                        </w:rPr>
                      </w:pPr>
                      <w:r w:rsidRPr="00FF02D0">
                        <w:rPr>
                          <w:rFonts w:ascii="Courier New" w:hAnsi="Courier New" w:cs="Courier New"/>
                          <w:b/>
                          <w:color w:val="auto"/>
                          <w:sz w:val="20"/>
                        </w:rPr>
                        <w:t xml:space="preserve">A household with no household members over age 24.  </w:t>
                      </w:r>
                      <w:r w:rsidR="00170BCD" w:rsidRPr="00FF02D0">
                        <w:rPr>
                          <w:rFonts w:ascii="Courier New" w:hAnsi="Courier New" w:cs="Courier New"/>
                          <w:b/>
                          <w:color w:val="auto"/>
                          <w:sz w:val="20"/>
                        </w:rPr>
                        <w:t xml:space="preserve">A youth household </w:t>
                      </w:r>
                      <w:r w:rsidRPr="00FF02D0">
                        <w:rPr>
                          <w:rFonts w:ascii="Courier New" w:hAnsi="Courier New" w:cs="Courier New"/>
                          <w:b/>
                          <w:color w:val="auto"/>
                          <w:sz w:val="20"/>
                        </w:rPr>
                        <w:t>includes:</w:t>
                      </w:r>
                    </w:p>
                    <w:p w:rsidR="00E82672" w:rsidRPr="00FF02D0" w:rsidRDefault="00E82672" w:rsidP="00AD1B77">
                      <w:pPr>
                        <w:pStyle w:val="ListParagraph"/>
                        <w:numPr>
                          <w:ilvl w:val="0"/>
                          <w:numId w:val="11"/>
                        </w:numPr>
                        <w:rPr>
                          <w:rFonts w:ascii="Courier New" w:hAnsi="Courier New" w:cs="Courier New"/>
                          <w:b/>
                          <w:color w:val="auto"/>
                          <w:sz w:val="20"/>
                        </w:rPr>
                      </w:pPr>
                      <w:r w:rsidRPr="00FF02D0">
                        <w:rPr>
                          <w:rFonts w:ascii="Courier New" w:hAnsi="Courier New" w:cs="Courier New"/>
                          <w:b/>
                          <w:color w:val="auto"/>
                          <w:sz w:val="20"/>
                        </w:rPr>
                        <w:t>Children under age 18 who are living without a parent/guardian</w:t>
                      </w:r>
                    </w:p>
                    <w:p w:rsidR="00170BCD" w:rsidRPr="00FF02D0" w:rsidRDefault="00E82672" w:rsidP="00AD1B77">
                      <w:pPr>
                        <w:pStyle w:val="ListParagraph"/>
                        <w:numPr>
                          <w:ilvl w:val="0"/>
                          <w:numId w:val="11"/>
                        </w:numPr>
                        <w:rPr>
                          <w:rFonts w:ascii="Courier New" w:hAnsi="Courier New" w:cs="Courier New"/>
                          <w:b/>
                          <w:color w:val="auto"/>
                          <w:sz w:val="20"/>
                        </w:rPr>
                      </w:pPr>
                      <w:r w:rsidRPr="00FF02D0">
                        <w:rPr>
                          <w:rFonts w:ascii="Courier New" w:hAnsi="Courier New" w:cs="Courier New"/>
                          <w:b/>
                          <w:color w:val="auto"/>
                          <w:sz w:val="20"/>
                        </w:rPr>
                        <w:t>Unaccompanied i</w:t>
                      </w:r>
                      <w:r w:rsidR="0090058C" w:rsidRPr="00FF02D0">
                        <w:rPr>
                          <w:rFonts w:ascii="Courier New" w:hAnsi="Courier New" w:cs="Courier New"/>
                          <w:b/>
                          <w:color w:val="auto"/>
                          <w:sz w:val="20"/>
                        </w:rPr>
                        <w:t>ndividuals age</w:t>
                      </w:r>
                      <w:r w:rsidRPr="00FF02D0">
                        <w:rPr>
                          <w:rFonts w:ascii="Courier New" w:hAnsi="Courier New" w:cs="Courier New"/>
                          <w:b/>
                          <w:color w:val="auto"/>
                          <w:sz w:val="20"/>
                        </w:rPr>
                        <w:t>d</w:t>
                      </w:r>
                      <w:r w:rsidR="0090058C" w:rsidRPr="00FF02D0">
                        <w:rPr>
                          <w:rFonts w:ascii="Courier New" w:hAnsi="Courier New" w:cs="Courier New"/>
                          <w:b/>
                          <w:color w:val="auto"/>
                          <w:sz w:val="20"/>
                        </w:rPr>
                        <w:t xml:space="preserve"> 24 </w:t>
                      </w:r>
                      <w:r w:rsidRPr="00FF02D0">
                        <w:rPr>
                          <w:rFonts w:ascii="Courier New" w:hAnsi="Courier New" w:cs="Courier New"/>
                          <w:b/>
                          <w:color w:val="auto"/>
                          <w:sz w:val="20"/>
                        </w:rPr>
                        <w:t xml:space="preserve">and below </w:t>
                      </w:r>
                    </w:p>
                    <w:p w:rsidR="00E82672" w:rsidRPr="00FF02D0" w:rsidRDefault="00170BCD" w:rsidP="00AD1B77">
                      <w:pPr>
                        <w:pStyle w:val="ListParagraph"/>
                        <w:numPr>
                          <w:ilvl w:val="0"/>
                          <w:numId w:val="11"/>
                        </w:numPr>
                        <w:rPr>
                          <w:rFonts w:ascii="Courier New" w:hAnsi="Courier New" w:cs="Courier New"/>
                          <w:b/>
                          <w:color w:val="auto"/>
                          <w:sz w:val="20"/>
                        </w:rPr>
                      </w:pPr>
                      <w:r w:rsidRPr="00FF02D0">
                        <w:rPr>
                          <w:rFonts w:ascii="Courier New" w:hAnsi="Courier New" w:cs="Courier New"/>
                          <w:b/>
                          <w:color w:val="auto"/>
                          <w:sz w:val="20"/>
                        </w:rPr>
                        <w:t xml:space="preserve">Two or more </w:t>
                      </w:r>
                      <w:r w:rsidRPr="00FF02D0">
                        <w:rPr>
                          <w:rFonts w:ascii="Courier New" w:hAnsi="Courier New" w:cs="Courier New"/>
                          <w:b/>
                          <w:color w:val="auto"/>
                          <w:sz w:val="20"/>
                        </w:rPr>
                        <w:t xml:space="preserve">individuals </w:t>
                      </w:r>
                      <w:r w:rsidRPr="00FF02D0">
                        <w:rPr>
                          <w:rFonts w:ascii="Courier New" w:hAnsi="Courier New" w:cs="Courier New"/>
                          <w:b/>
                          <w:color w:val="auto"/>
                          <w:sz w:val="20"/>
                        </w:rPr>
                        <w:t xml:space="preserve">aged 24 or below living in a household with no other person </w:t>
                      </w:r>
                      <w:r w:rsidR="00C62CD1" w:rsidRPr="00FF02D0">
                        <w:rPr>
                          <w:rFonts w:ascii="Courier New" w:hAnsi="Courier New" w:cs="Courier New"/>
                          <w:b/>
                          <w:color w:val="auto"/>
                          <w:sz w:val="20"/>
                        </w:rPr>
                        <w:t>over age</w:t>
                      </w:r>
                      <w:r w:rsidR="00E82672" w:rsidRPr="00FF02D0">
                        <w:rPr>
                          <w:rFonts w:ascii="Courier New" w:hAnsi="Courier New" w:cs="Courier New"/>
                          <w:b/>
                          <w:color w:val="auto"/>
                          <w:sz w:val="20"/>
                        </w:rPr>
                        <w:t xml:space="preserve"> 24 </w:t>
                      </w:r>
                    </w:p>
                    <w:p w:rsidR="009B65EC" w:rsidRPr="00FF02D0" w:rsidRDefault="0090058C" w:rsidP="00AD1B77">
                      <w:pPr>
                        <w:pStyle w:val="ListParagraph"/>
                        <w:numPr>
                          <w:ilvl w:val="0"/>
                          <w:numId w:val="11"/>
                        </w:numPr>
                        <w:rPr>
                          <w:rFonts w:ascii="Courier New" w:hAnsi="Courier New" w:cs="Courier New"/>
                          <w:b/>
                          <w:color w:val="auto"/>
                          <w:sz w:val="20"/>
                        </w:rPr>
                      </w:pPr>
                      <w:r w:rsidRPr="00FF02D0">
                        <w:rPr>
                          <w:rFonts w:ascii="Courier New" w:hAnsi="Courier New" w:cs="Courier New"/>
                          <w:b/>
                          <w:color w:val="auto"/>
                          <w:sz w:val="20"/>
                        </w:rPr>
                        <w:t xml:space="preserve">Individuals </w:t>
                      </w:r>
                      <w:r w:rsidR="00C62CD1" w:rsidRPr="00FF02D0">
                        <w:rPr>
                          <w:rFonts w:ascii="Courier New" w:hAnsi="Courier New" w:cs="Courier New"/>
                          <w:b/>
                          <w:color w:val="auto"/>
                          <w:sz w:val="20"/>
                        </w:rPr>
                        <w:t xml:space="preserve">aged 24 and below </w:t>
                      </w:r>
                      <w:r w:rsidRPr="00FF02D0">
                        <w:rPr>
                          <w:rFonts w:ascii="Courier New" w:hAnsi="Courier New" w:cs="Courier New"/>
                          <w:b/>
                          <w:color w:val="auto"/>
                          <w:sz w:val="20"/>
                        </w:rPr>
                        <w:t>with their o</w:t>
                      </w:r>
                      <w:r w:rsidR="00170BCD" w:rsidRPr="00FF02D0">
                        <w:rPr>
                          <w:rFonts w:ascii="Courier New" w:hAnsi="Courier New" w:cs="Courier New"/>
                          <w:b/>
                          <w:color w:val="auto"/>
                          <w:sz w:val="20"/>
                        </w:rPr>
                        <w:t>wn children (“Parenting Youth”)</w:t>
                      </w:r>
                    </w:p>
                    <w:p w:rsidR="00E82672" w:rsidRPr="00170BCD" w:rsidRDefault="00E82672">
                      <w:pPr>
                        <w:rPr>
                          <w:color w:val="auto"/>
                          <w:sz w:val="22"/>
                        </w:rPr>
                      </w:pPr>
                    </w:p>
                  </w:txbxContent>
                </v:textbox>
                <w10:wrap type="square"/>
              </v:shape>
            </w:pict>
          </mc:Fallback>
        </mc:AlternateContent>
      </w:r>
    </w:p>
    <w:p w14:paraId="787BF4F3" w14:textId="77777777" w:rsidR="00170BCD" w:rsidRDefault="00170BCD" w:rsidP="00170BCD">
      <w:pPr>
        <w:pStyle w:val="Heading1"/>
        <w:spacing w:before="0"/>
        <w:rPr>
          <w:u w:val="single"/>
        </w:rPr>
      </w:pPr>
      <w:r>
        <w:rPr>
          <w:u w:val="single"/>
        </w:rPr>
        <w:t>standards for counting youth: expectations for all counties</w:t>
      </w:r>
    </w:p>
    <w:p w14:paraId="4670F647" w14:textId="77777777" w:rsidR="00E33291" w:rsidRPr="00FF02D0" w:rsidRDefault="00E33291" w:rsidP="00E33291">
      <w:pPr>
        <w:pStyle w:val="ListParagraph"/>
        <w:numPr>
          <w:ilvl w:val="0"/>
          <w:numId w:val="5"/>
        </w:numPr>
        <w:rPr>
          <w:b/>
          <w:color w:val="auto"/>
          <w:sz w:val="24"/>
        </w:rPr>
      </w:pPr>
      <w:r w:rsidRPr="00FF02D0">
        <w:rPr>
          <w:b/>
          <w:color w:val="auto"/>
          <w:sz w:val="24"/>
        </w:rPr>
        <w:t>Coordinate with other systems serving youth</w:t>
      </w:r>
    </w:p>
    <w:p w14:paraId="76A4E020" w14:textId="77777777" w:rsidR="00E33291" w:rsidRPr="00FF02D0" w:rsidRDefault="00E33291" w:rsidP="00E33291">
      <w:pPr>
        <w:pStyle w:val="ListParagraph"/>
        <w:numPr>
          <w:ilvl w:val="0"/>
          <w:numId w:val="5"/>
        </w:numPr>
        <w:rPr>
          <w:b/>
          <w:color w:val="auto"/>
          <w:sz w:val="24"/>
        </w:rPr>
      </w:pPr>
      <w:r w:rsidRPr="00FF02D0">
        <w:rPr>
          <w:b/>
          <w:color w:val="auto"/>
          <w:sz w:val="24"/>
        </w:rPr>
        <w:t xml:space="preserve">Engage youth </w:t>
      </w:r>
    </w:p>
    <w:p w14:paraId="2E371FC4" w14:textId="77777777" w:rsidR="00E33291" w:rsidRPr="00FF02D0" w:rsidRDefault="00E33291" w:rsidP="00E33291">
      <w:pPr>
        <w:pStyle w:val="ListParagraph"/>
        <w:numPr>
          <w:ilvl w:val="0"/>
          <w:numId w:val="5"/>
        </w:numPr>
        <w:rPr>
          <w:b/>
          <w:color w:val="auto"/>
          <w:sz w:val="24"/>
        </w:rPr>
      </w:pPr>
      <w:r w:rsidRPr="00FF02D0">
        <w:rPr>
          <w:b/>
          <w:color w:val="auto"/>
          <w:sz w:val="24"/>
        </w:rPr>
        <w:t>Identify hot spots</w:t>
      </w:r>
    </w:p>
    <w:p w14:paraId="13CA6AA9" w14:textId="77777777" w:rsidR="00E33291" w:rsidRPr="00FF02D0" w:rsidRDefault="00E33291" w:rsidP="00E33291">
      <w:pPr>
        <w:pStyle w:val="ListParagraph"/>
        <w:numPr>
          <w:ilvl w:val="0"/>
          <w:numId w:val="5"/>
        </w:numPr>
        <w:rPr>
          <w:b/>
          <w:color w:val="auto"/>
          <w:sz w:val="24"/>
        </w:rPr>
      </w:pPr>
      <w:r w:rsidRPr="00FF02D0">
        <w:rPr>
          <w:b/>
          <w:color w:val="auto"/>
          <w:sz w:val="24"/>
        </w:rPr>
        <w:t>Plan with safety in mind</w:t>
      </w:r>
    </w:p>
    <w:p w14:paraId="576AA1AC" w14:textId="77777777" w:rsidR="00E33291" w:rsidRPr="00FF02D0" w:rsidRDefault="00E33291" w:rsidP="00E33291">
      <w:pPr>
        <w:pStyle w:val="ListParagraph"/>
        <w:numPr>
          <w:ilvl w:val="0"/>
          <w:numId w:val="5"/>
        </w:numPr>
        <w:rPr>
          <w:b/>
          <w:color w:val="auto"/>
          <w:sz w:val="24"/>
        </w:rPr>
      </w:pPr>
      <w:r w:rsidRPr="00FF02D0">
        <w:rPr>
          <w:b/>
          <w:color w:val="auto"/>
          <w:sz w:val="24"/>
        </w:rPr>
        <w:t>Provide local training</w:t>
      </w:r>
    </w:p>
    <w:p w14:paraId="30C919E1" w14:textId="77777777" w:rsidR="00D32139" w:rsidRPr="00C0175A" w:rsidRDefault="00E33291">
      <w:pPr>
        <w:pStyle w:val="Heading2"/>
        <w:rPr>
          <w:color w:val="1F4E79" w:themeColor="accent1" w:themeShade="80"/>
        </w:rPr>
      </w:pPr>
      <w:r w:rsidRPr="00C0175A">
        <w:rPr>
          <w:color w:val="1F4E79" w:themeColor="accent1" w:themeShade="80"/>
        </w:rPr>
        <w:t xml:space="preserve">Coordinate </w:t>
      </w:r>
      <w:r w:rsidRPr="00170BCD">
        <w:rPr>
          <w:color w:val="1F4E79" w:themeColor="accent1" w:themeShade="80"/>
        </w:rPr>
        <w:t xml:space="preserve">with </w:t>
      </w:r>
      <w:r w:rsidR="00DB3003" w:rsidRPr="00170BCD">
        <w:rPr>
          <w:color w:val="1F4E79" w:themeColor="accent1" w:themeShade="80"/>
        </w:rPr>
        <w:t>one or more</w:t>
      </w:r>
      <w:r w:rsidR="00DB3003" w:rsidRPr="00C0175A">
        <w:rPr>
          <w:color w:val="1F4E79" w:themeColor="accent1" w:themeShade="80"/>
        </w:rPr>
        <w:t xml:space="preserve"> </w:t>
      </w:r>
      <w:r w:rsidRPr="00C0175A">
        <w:rPr>
          <w:color w:val="1F4E79" w:themeColor="accent1" w:themeShade="80"/>
        </w:rPr>
        <w:t>other systems serving youth</w:t>
      </w:r>
      <w:r w:rsidR="00170BCD">
        <w:rPr>
          <w:color w:val="1F4E79" w:themeColor="accent1" w:themeShade="80"/>
        </w:rPr>
        <w:t>.  The</w:t>
      </w:r>
      <w:r w:rsidR="00D400CC" w:rsidRPr="00C0175A">
        <w:rPr>
          <w:color w:val="1F4E79" w:themeColor="accent1" w:themeShade="80"/>
        </w:rPr>
        <w:t>s</w:t>
      </w:r>
      <w:r w:rsidR="00170BCD">
        <w:rPr>
          <w:color w:val="1F4E79" w:themeColor="accent1" w:themeShade="80"/>
        </w:rPr>
        <w:t>e</w:t>
      </w:r>
      <w:r w:rsidR="00D400CC" w:rsidRPr="00C0175A">
        <w:rPr>
          <w:color w:val="1F4E79" w:themeColor="accent1" w:themeShade="80"/>
        </w:rPr>
        <w:t xml:space="preserve"> include:</w:t>
      </w:r>
    </w:p>
    <w:tbl>
      <w:tblPr>
        <w:tblStyle w:val="TipTable"/>
        <w:tblW w:w="5000" w:type="pct"/>
        <w:tblLook w:val="04A0" w:firstRow="1" w:lastRow="0" w:firstColumn="1" w:lastColumn="0" w:noHBand="0" w:noVBand="1"/>
      </w:tblPr>
      <w:tblGrid>
        <w:gridCol w:w="9360"/>
      </w:tblGrid>
      <w:tr w:rsidR="00DB3003" w14:paraId="3E3605B2" w14:textId="77777777" w:rsidTr="00DB3003">
        <w:tc>
          <w:tcPr>
            <w:cnfStyle w:val="001000000000" w:firstRow="0" w:lastRow="0" w:firstColumn="1" w:lastColumn="0" w:oddVBand="0" w:evenVBand="0" w:oddHBand="0" w:evenHBand="0" w:firstRowFirstColumn="0" w:firstRowLastColumn="0" w:lastRowFirstColumn="0" w:lastRowLastColumn="0"/>
            <w:tcW w:w="5000" w:type="pct"/>
          </w:tcPr>
          <w:sdt>
            <w:sdtPr>
              <w:id w:val="-2113425653"/>
              <w:placeholder>
                <w:docPart w:val="9B6E1DF2758245BB9E76392E8AB38FB0"/>
              </w:placeholder>
              <w15:appearance w15:val="hidden"/>
            </w:sdtPr>
            <w:sdtEndPr/>
            <w:sdtContent>
              <w:p w14:paraId="2DF290C6" w14:textId="77777777" w:rsidR="00DB3003" w:rsidRPr="00FF02D0" w:rsidRDefault="00DB3003" w:rsidP="00DB3003">
                <w:pPr>
                  <w:pStyle w:val="ListParagraph"/>
                  <w:numPr>
                    <w:ilvl w:val="0"/>
                    <w:numId w:val="6"/>
                  </w:numPr>
                  <w:jc w:val="left"/>
                  <w:rPr>
                    <w:rFonts w:ascii="Arial" w:hAnsi="Arial" w:cs="Arial"/>
                    <w:color w:val="auto"/>
                    <w:sz w:val="22"/>
                  </w:rPr>
                </w:pPr>
                <w:r w:rsidRPr="00FF02D0">
                  <w:rPr>
                    <w:color w:val="auto"/>
                    <w:sz w:val="22"/>
                    <w:u w:val="single"/>
                  </w:rPr>
                  <w:t>Regional Coordinators of Pennsylvania’s Education for Children and Youth Experiencing Homelessness (ECYEH</w:t>
                </w:r>
                <w:r w:rsidRPr="00FF02D0">
                  <w:rPr>
                    <w:color w:val="auto"/>
                    <w:sz w:val="22"/>
                    <w:szCs w:val="22"/>
                    <w:u w:val="single"/>
                  </w:rPr>
                  <w:t>)</w:t>
                </w:r>
                <w:r w:rsidRPr="00FF02D0">
                  <w:rPr>
                    <w:color w:val="auto"/>
                    <w:sz w:val="22"/>
                    <w:szCs w:val="22"/>
                  </w:rPr>
                  <w:t xml:space="preserve">.  </w:t>
                </w:r>
              </w:p>
              <w:p w14:paraId="4DA8D312" w14:textId="77777777" w:rsidR="00B20F47" w:rsidRPr="00FF02D0" w:rsidRDefault="00DB3003" w:rsidP="00DB3003">
                <w:pPr>
                  <w:pStyle w:val="ListParagraph"/>
                  <w:numPr>
                    <w:ilvl w:val="1"/>
                    <w:numId w:val="6"/>
                  </w:numPr>
                  <w:jc w:val="left"/>
                  <w:rPr>
                    <w:rFonts w:ascii="Arial" w:hAnsi="Arial" w:cs="Arial"/>
                    <w:color w:val="auto"/>
                    <w:sz w:val="22"/>
                  </w:rPr>
                </w:pPr>
                <w:r w:rsidRPr="00FF02D0">
                  <w:rPr>
                    <w:rFonts w:ascii="Arial" w:hAnsi="Arial" w:cs="Arial"/>
                    <w:color w:val="auto"/>
                    <w:sz w:val="22"/>
                    <w:szCs w:val="22"/>
                  </w:rPr>
                  <w:t xml:space="preserve">To find your Regional ECYEH Coordinator, visit </w:t>
                </w:r>
              </w:p>
              <w:p w14:paraId="4A4AF17C" w14:textId="09F6E223" w:rsidR="00E66388" w:rsidRPr="00E66388" w:rsidRDefault="00DB7E83" w:rsidP="00DB7E83">
                <w:pPr>
                  <w:pStyle w:val="ListParagraph"/>
                  <w:ind w:left="1440"/>
                  <w:jc w:val="left"/>
                  <w:rPr>
                    <w:rFonts w:ascii="Arial" w:hAnsi="Arial" w:cs="Arial"/>
                    <w:sz w:val="8"/>
                    <w:szCs w:val="8"/>
                  </w:rPr>
                </w:pPr>
                <w:r>
                  <w:rPr>
                    <w:rStyle w:val="Hyperlink"/>
                    <w:rFonts w:ascii="Arial" w:hAnsi="Arial" w:cs="Arial"/>
                    <w:sz w:val="22"/>
                    <w:szCs w:val="22"/>
                    <w:u w:val="none"/>
                  </w:rPr>
                  <w:t xml:space="preserve"> </w:t>
                </w:r>
                <w:r w:rsidRPr="00DB7E83">
                  <w:rPr>
                    <w:rStyle w:val="Hyperlink"/>
                    <w:rFonts w:ascii="Arial" w:hAnsi="Arial" w:cs="Arial"/>
                    <w:sz w:val="22"/>
                    <w:szCs w:val="22"/>
                    <w:u w:val="none"/>
                  </w:rPr>
                  <w:t>https://directory.center-school.org/homeless/contacts/</w:t>
                </w:r>
              </w:p>
              <w:p w14:paraId="381F0926" w14:textId="77777777" w:rsidR="00DB3003" w:rsidRPr="00FF02D0" w:rsidRDefault="00DB3003" w:rsidP="00DB3003">
                <w:pPr>
                  <w:pStyle w:val="ListParagraph"/>
                  <w:numPr>
                    <w:ilvl w:val="0"/>
                    <w:numId w:val="6"/>
                  </w:numPr>
                  <w:jc w:val="left"/>
                  <w:rPr>
                    <w:color w:val="auto"/>
                    <w:sz w:val="22"/>
                  </w:rPr>
                </w:pPr>
                <w:r w:rsidRPr="00FF02D0">
                  <w:rPr>
                    <w:color w:val="auto"/>
                    <w:sz w:val="22"/>
                    <w:u w:val="single"/>
                  </w:rPr>
                  <w:t>School District Liaisons for Homeless Students</w:t>
                </w:r>
                <w:r w:rsidRPr="00FF02D0">
                  <w:rPr>
                    <w:color w:val="auto"/>
                    <w:sz w:val="22"/>
                  </w:rPr>
                  <w:t xml:space="preserve">.  </w:t>
                </w:r>
              </w:p>
              <w:p w14:paraId="19AECE40" w14:textId="77777777" w:rsidR="00B20F47" w:rsidRPr="00FF02D0" w:rsidRDefault="00DB3003" w:rsidP="00B20F47">
                <w:pPr>
                  <w:pStyle w:val="ListParagraph"/>
                  <w:numPr>
                    <w:ilvl w:val="1"/>
                    <w:numId w:val="6"/>
                  </w:numPr>
                  <w:jc w:val="left"/>
                  <w:rPr>
                    <w:color w:val="auto"/>
                    <w:sz w:val="22"/>
                  </w:rPr>
                </w:pPr>
                <w:r w:rsidRPr="00FF02D0">
                  <w:rPr>
                    <w:color w:val="auto"/>
                    <w:sz w:val="22"/>
                  </w:rPr>
                  <w:t xml:space="preserve">To find </w:t>
                </w:r>
                <w:r w:rsidR="00B20F47" w:rsidRPr="00FF02D0">
                  <w:rPr>
                    <w:color w:val="auto"/>
                    <w:sz w:val="22"/>
                  </w:rPr>
                  <w:t xml:space="preserve">the school district liaison for your geographic area, visit </w:t>
                </w:r>
              </w:p>
              <w:p w14:paraId="622B1FC0" w14:textId="04EDF6C4" w:rsidR="00DB3003" w:rsidRPr="00E66388" w:rsidRDefault="00DB7E83" w:rsidP="00DB7E83">
                <w:pPr>
                  <w:pStyle w:val="ListParagraph"/>
                  <w:ind w:left="1440"/>
                  <w:jc w:val="left"/>
                  <w:rPr>
                    <w:color w:val="auto"/>
                    <w:sz w:val="22"/>
                  </w:rPr>
                </w:pPr>
                <w:r>
                  <w:rPr>
                    <w:rStyle w:val="Hyperlink"/>
                    <w:sz w:val="22"/>
                    <w:u w:val="none"/>
                  </w:rPr>
                  <w:t xml:space="preserve"> </w:t>
                </w:r>
                <w:r w:rsidRPr="00DB7E83">
                  <w:rPr>
                    <w:rStyle w:val="Hyperlink"/>
                    <w:sz w:val="22"/>
                    <w:u w:val="none"/>
                  </w:rPr>
                  <w:t>https://directory.center-school.org/homeless/liaison/search</w:t>
                </w:r>
              </w:p>
              <w:p w14:paraId="2B6DF2ED" w14:textId="77777777" w:rsidR="00E66388" w:rsidRPr="00E66388" w:rsidRDefault="00E66388" w:rsidP="00B20F47">
                <w:pPr>
                  <w:pStyle w:val="ListParagraph"/>
                  <w:ind w:left="1440"/>
                  <w:jc w:val="left"/>
                  <w:rPr>
                    <w:color w:val="auto"/>
                    <w:sz w:val="8"/>
                    <w:szCs w:val="8"/>
                  </w:rPr>
                </w:pPr>
              </w:p>
              <w:p w14:paraId="340D3056" w14:textId="77777777" w:rsidR="00DB3003" w:rsidRPr="00FF02D0" w:rsidRDefault="00DB3003" w:rsidP="00170BCD">
                <w:pPr>
                  <w:pStyle w:val="ListParagraph"/>
                  <w:numPr>
                    <w:ilvl w:val="0"/>
                    <w:numId w:val="6"/>
                  </w:numPr>
                  <w:jc w:val="left"/>
                  <w:rPr>
                    <w:color w:val="auto"/>
                    <w:sz w:val="22"/>
                  </w:rPr>
                </w:pPr>
                <w:r w:rsidRPr="00FF02D0">
                  <w:rPr>
                    <w:color w:val="auto"/>
                    <w:sz w:val="22"/>
                    <w:u w:val="single"/>
                  </w:rPr>
                  <w:t>Child welfare</w:t>
                </w:r>
                <w:r w:rsidRPr="00FF02D0">
                  <w:rPr>
                    <w:color w:val="auto"/>
                    <w:sz w:val="22"/>
                  </w:rPr>
                  <w:t>.</w:t>
                </w:r>
                <w:r w:rsidR="00170BCD" w:rsidRPr="00FF02D0">
                  <w:rPr>
                    <w:color w:val="auto"/>
                    <w:sz w:val="22"/>
                  </w:rPr>
                  <w:t xml:space="preserve">  </w:t>
                </w:r>
                <w:r w:rsidRPr="00FF02D0">
                  <w:rPr>
                    <w:color w:val="auto"/>
                    <w:sz w:val="22"/>
                  </w:rPr>
                  <w:t xml:space="preserve">This may include </w:t>
                </w:r>
                <w:r w:rsidR="008C1C42" w:rsidRPr="00FF02D0">
                  <w:rPr>
                    <w:color w:val="auto"/>
                    <w:sz w:val="22"/>
                  </w:rPr>
                  <w:t>foster care, independent living specialists, etc.</w:t>
                </w:r>
              </w:p>
              <w:p w14:paraId="2DC9ECC1" w14:textId="77777777" w:rsidR="00E66388" w:rsidRPr="00E66388" w:rsidRDefault="00E66388" w:rsidP="00E66388">
                <w:pPr>
                  <w:pStyle w:val="ListParagraph"/>
                  <w:ind w:left="1440"/>
                  <w:jc w:val="left"/>
                  <w:rPr>
                    <w:color w:val="auto"/>
                    <w:sz w:val="8"/>
                    <w:szCs w:val="8"/>
                  </w:rPr>
                </w:pPr>
              </w:p>
              <w:p w14:paraId="368C7391" w14:textId="6BC91B68" w:rsidR="00170BCD" w:rsidRPr="00FF02D0" w:rsidRDefault="00170BCD" w:rsidP="00856E5D">
                <w:pPr>
                  <w:pStyle w:val="ListParagraph"/>
                  <w:numPr>
                    <w:ilvl w:val="0"/>
                    <w:numId w:val="6"/>
                  </w:numPr>
                  <w:jc w:val="left"/>
                  <w:rPr>
                    <w:color w:val="auto"/>
                    <w:sz w:val="22"/>
                  </w:rPr>
                </w:pPr>
                <w:r w:rsidRPr="00FF02D0">
                  <w:rPr>
                    <w:color w:val="auto"/>
                    <w:sz w:val="22"/>
                    <w:u w:val="single"/>
                  </w:rPr>
                  <w:t>Juvenile or adult justice system</w:t>
                </w:r>
                <w:r w:rsidRPr="00FF02D0">
                  <w:rPr>
                    <w:color w:val="auto"/>
                    <w:sz w:val="22"/>
                  </w:rPr>
                  <w:t xml:space="preserve">.  This may include parole/probation officers, </w:t>
                </w:r>
                <w:r w:rsidR="00D467C8">
                  <w:rPr>
                    <w:color w:val="auto"/>
                    <w:sz w:val="22"/>
                  </w:rPr>
                  <w:t xml:space="preserve">reintegration workers, </w:t>
                </w:r>
                <w:r w:rsidRPr="00FF02D0">
                  <w:rPr>
                    <w:color w:val="auto"/>
                    <w:sz w:val="22"/>
                  </w:rPr>
                  <w:t>etc.</w:t>
                </w:r>
              </w:p>
              <w:p w14:paraId="453A5825" w14:textId="77777777" w:rsidR="00E66388" w:rsidRPr="00E66388" w:rsidRDefault="00E66388" w:rsidP="00E66388">
                <w:pPr>
                  <w:pStyle w:val="ListParagraph"/>
                  <w:jc w:val="left"/>
                  <w:rPr>
                    <w:color w:val="auto"/>
                    <w:sz w:val="8"/>
                    <w:szCs w:val="8"/>
                  </w:rPr>
                </w:pPr>
              </w:p>
              <w:p w14:paraId="6A544E71" w14:textId="77777777" w:rsidR="00170BCD" w:rsidRPr="00FF02D0" w:rsidRDefault="00170BCD" w:rsidP="00170BCD">
                <w:pPr>
                  <w:pStyle w:val="ListParagraph"/>
                  <w:numPr>
                    <w:ilvl w:val="0"/>
                    <w:numId w:val="6"/>
                  </w:numPr>
                  <w:jc w:val="left"/>
                  <w:rPr>
                    <w:color w:val="auto"/>
                    <w:sz w:val="22"/>
                  </w:rPr>
                </w:pPr>
                <w:r w:rsidRPr="00FF02D0">
                  <w:rPr>
                    <w:color w:val="auto"/>
                    <w:sz w:val="22"/>
                    <w:u w:val="single"/>
                  </w:rPr>
                  <w:t>Behavioral health</w:t>
                </w:r>
                <w:r w:rsidRPr="00FF02D0">
                  <w:rPr>
                    <w:color w:val="auto"/>
                    <w:sz w:val="22"/>
                  </w:rPr>
                  <w:t>.  This may include coordination with the child and adult MH system.</w:t>
                </w:r>
              </w:p>
              <w:p w14:paraId="51320C0E" w14:textId="77777777" w:rsidR="00E66388" w:rsidRPr="00E66388" w:rsidRDefault="00E66388" w:rsidP="00E66388">
                <w:pPr>
                  <w:pStyle w:val="ListParagraph"/>
                  <w:ind w:left="1440"/>
                  <w:jc w:val="left"/>
                  <w:rPr>
                    <w:color w:val="auto"/>
                    <w:sz w:val="8"/>
                    <w:szCs w:val="8"/>
                  </w:rPr>
                </w:pPr>
              </w:p>
              <w:p w14:paraId="080545DD" w14:textId="77777777" w:rsidR="008C1C42" w:rsidRPr="00FF02D0" w:rsidRDefault="008C1C42" w:rsidP="00AF0D13">
                <w:pPr>
                  <w:pStyle w:val="ListParagraph"/>
                  <w:numPr>
                    <w:ilvl w:val="0"/>
                    <w:numId w:val="6"/>
                  </w:numPr>
                  <w:jc w:val="left"/>
                  <w:rPr>
                    <w:color w:val="auto"/>
                    <w:sz w:val="22"/>
                  </w:rPr>
                </w:pPr>
                <w:r w:rsidRPr="00FF02D0">
                  <w:rPr>
                    <w:color w:val="auto"/>
                    <w:sz w:val="22"/>
                    <w:u w:val="single"/>
                  </w:rPr>
                  <w:t>Other organizations serving youth</w:t>
                </w:r>
                <w:r w:rsidRPr="00FF02D0">
                  <w:rPr>
                    <w:color w:val="auto"/>
                    <w:sz w:val="22"/>
                  </w:rPr>
                  <w:t>.</w:t>
                </w:r>
              </w:p>
              <w:p w14:paraId="4D55DB6B" w14:textId="4CC8EDF2" w:rsidR="008C1C42" w:rsidRPr="00FF02D0" w:rsidRDefault="008C1C42" w:rsidP="008C1C42">
                <w:pPr>
                  <w:pStyle w:val="ListParagraph"/>
                  <w:numPr>
                    <w:ilvl w:val="1"/>
                    <w:numId w:val="6"/>
                  </w:numPr>
                  <w:jc w:val="left"/>
                  <w:rPr>
                    <w:color w:val="auto"/>
                    <w:sz w:val="22"/>
                  </w:rPr>
                </w:pPr>
                <w:r w:rsidRPr="00FF02D0">
                  <w:rPr>
                    <w:color w:val="auto"/>
                    <w:sz w:val="22"/>
                  </w:rPr>
                  <w:t>Some communities within our CoC have organizations</w:t>
                </w:r>
                <w:r w:rsidR="00BB203E" w:rsidRPr="00FF02D0">
                  <w:rPr>
                    <w:color w:val="auto"/>
                    <w:sz w:val="22"/>
                  </w:rPr>
                  <w:t xml:space="preserve"> and programs</w:t>
                </w:r>
                <w:r w:rsidRPr="00FF02D0">
                  <w:rPr>
                    <w:color w:val="auto"/>
                    <w:sz w:val="22"/>
                  </w:rPr>
                  <w:t xml:space="preserve"> that specifically serve </w:t>
                </w:r>
                <w:r w:rsidR="00BB203E" w:rsidRPr="00FF02D0">
                  <w:rPr>
                    <w:color w:val="auto"/>
                    <w:sz w:val="22"/>
                  </w:rPr>
                  <w:t xml:space="preserve">or target </w:t>
                </w:r>
                <w:r w:rsidRPr="00FF02D0">
                  <w:rPr>
                    <w:color w:val="auto"/>
                    <w:sz w:val="22"/>
                  </w:rPr>
                  <w:t>youth.  Th</w:t>
                </w:r>
                <w:r w:rsidR="00BB203E" w:rsidRPr="00FF02D0">
                  <w:rPr>
                    <w:color w:val="auto"/>
                    <w:sz w:val="22"/>
                  </w:rPr>
                  <w:t>ese</w:t>
                </w:r>
                <w:r w:rsidRPr="00FF02D0">
                  <w:rPr>
                    <w:color w:val="auto"/>
                    <w:sz w:val="22"/>
                  </w:rPr>
                  <w:t xml:space="preserve"> may include homeless assistance providers, Boys &amp; Girls Clubs, </w:t>
                </w:r>
                <w:r w:rsidR="00D467C8">
                  <w:rPr>
                    <w:color w:val="auto"/>
                    <w:sz w:val="22"/>
                  </w:rPr>
                  <w:t xml:space="preserve">mental health organizations, employment programs, GED providers, </w:t>
                </w:r>
                <w:r w:rsidRPr="00FF02D0">
                  <w:rPr>
                    <w:color w:val="auto"/>
                    <w:sz w:val="22"/>
                  </w:rPr>
                  <w:t xml:space="preserve">LGBTQ organizations, etc. </w:t>
                </w:r>
              </w:p>
              <w:p w14:paraId="71CF712F" w14:textId="0F4079E1" w:rsidR="008C1C42" w:rsidRPr="00D467C8" w:rsidRDefault="00D467C8" w:rsidP="00D467C8">
                <w:pPr>
                  <w:ind w:left="1080"/>
                  <w:rPr>
                    <w:color w:val="auto"/>
                    <w:sz w:val="22"/>
                  </w:rPr>
                </w:pPr>
              </w:p>
            </w:sdtContent>
          </w:sdt>
        </w:tc>
      </w:tr>
    </w:tbl>
    <w:p w14:paraId="39854D9D" w14:textId="77777777" w:rsidR="00D32139" w:rsidRPr="00C0175A" w:rsidRDefault="00B20F47">
      <w:pPr>
        <w:pStyle w:val="Heading2"/>
        <w:rPr>
          <w:color w:val="1F4E79" w:themeColor="accent1" w:themeShade="80"/>
        </w:rPr>
      </w:pPr>
      <w:r w:rsidRPr="00C0175A">
        <w:rPr>
          <w:color w:val="1F4E79" w:themeColor="accent1" w:themeShade="80"/>
        </w:rPr>
        <w:lastRenderedPageBreak/>
        <w:t xml:space="preserve">Engage </w:t>
      </w:r>
      <w:r w:rsidR="00A30DE1" w:rsidRPr="00C0175A">
        <w:rPr>
          <w:color w:val="1F4E79" w:themeColor="accent1" w:themeShade="80"/>
        </w:rPr>
        <w:t>Y</w:t>
      </w:r>
      <w:r w:rsidRPr="00C0175A">
        <w:rPr>
          <w:color w:val="1F4E79" w:themeColor="accent1" w:themeShade="80"/>
        </w:rPr>
        <w:t>outh</w:t>
      </w:r>
    </w:p>
    <w:tbl>
      <w:tblPr>
        <w:tblStyle w:val="TipTable"/>
        <w:tblW w:w="5000" w:type="pct"/>
        <w:tblLook w:val="04A0" w:firstRow="1" w:lastRow="0" w:firstColumn="1" w:lastColumn="0" w:noHBand="0" w:noVBand="1"/>
      </w:tblPr>
      <w:tblGrid>
        <w:gridCol w:w="9360"/>
      </w:tblGrid>
      <w:sdt>
        <w:sdtPr>
          <w:rPr>
            <w:color w:val="auto"/>
          </w:rPr>
          <w:id w:val="-1466881030"/>
          <w:placeholder>
            <w:docPart w:val="9B6E1DF2758245BB9E76392E8AB38FB0"/>
          </w:placeholder>
          <w15:appearance w15:val="hidden"/>
        </w:sdtPr>
        <w:sdtEndPr/>
        <w:sdtContent>
          <w:tr w:rsidR="008C1C42" w14:paraId="7D6D81BE" w14:textId="77777777" w:rsidTr="00CE1CCB">
            <w:tc>
              <w:tcPr>
                <w:cnfStyle w:val="001000000000" w:firstRow="0" w:lastRow="0" w:firstColumn="1" w:lastColumn="0" w:oddVBand="0" w:evenVBand="0" w:oddHBand="0" w:evenHBand="0" w:firstRowFirstColumn="0" w:firstRowLastColumn="0" w:lastRowFirstColumn="0" w:lastRowLastColumn="0"/>
                <w:tcW w:w="5000" w:type="pct"/>
              </w:tcPr>
              <w:p w14:paraId="49FF529B" w14:textId="77777777" w:rsidR="00317C02" w:rsidRPr="00FF02D0" w:rsidRDefault="00B20F47" w:rsidP="008C1C42">
                <w:pPr>
                  <w:pStyle w:val="ListParagraph"/>
                  <w:numPr>
                    <w:ilvl w:val="0"/>
                    <w:numId w:val="6"/>
                  </w:numPr>
                  <w:jc w:val="left"/>
                  <w:rPr>
                    <w:color w:val="auto"/>
                    <w:sz w:val="22"/>
                    <w:szCs w:val="22"/>
                  </w:rPr>
                </w:pPr>
                <w:r w:rsidRPr="00FF02D0">
                  <w:rPr>
                    <w:color w:val="auto"/>
                    <w:sz w:val="22"/>
                    <w:szCs w:val="22"/>
                  </w:rPr>
                  <w:t xml:space="preserve">Youth can assist </w:t>
                </w:r>
                <w:r w:rsidR="00F21978" w:rsidRPr="00FF02D0">
                  <w:rPr>
                    <w:color w:val="auto"/>
                    <w:sz w:val="22"/>
                    <w:szCs w:val="22"/>
                  </w:rPr>
                  <w:t xml:space="preserve">and enhance </w:t>
                </w:r>
                <w:r w:rsidRPr="00FF02D0">
                  <w:rPr>
                    <w:color w:val="auto"/>
                    <w:sz w:val="22"/>
                    <w:szCs w:val="22"/>
                  </w:rPr>
                  <w:t>your PIT efforts by</w:t>
                </w:r>
                <w:r w:rsidR="00317C02" w:rsidRPr="00FF02D0">
                  <w:rPr>
                    <w:color w:val="auto"/>
                    <w:sz w:val="22"/>
                    <w:szCs w:val="22"/>
                  </w:rPr>
                  <w:t>:</w:t>
                </w:r>
              </w:p>
              <w:p w14:paraId="6310E497" w14:textId="77777777" w:rsidR="00317C02" w:rsidRPr="00FF02D0" w:rsidRDefault="00B20F47" w:rsidP="00317C02">
                <w:pPr>
                  <w:pStyle w:val="ListParagraph"/>
                  <w:numPr>
                    <w:ilvl w:val="1"/>
                    <w:numId w:val="6"/>
                  </w:numPr>
                  <w:jc w:val="left"/>
                  <w:rPr>
                    <w:color w:val="auto"/>
                    <w:sz w:val="22"/>
                    <w:szCs w:val="22"/>
                  </w:rPr>
                </w:pPr>
                <w:r w:rsidRPr="00FF02D0">
                  <w:rPr>
                    <w:color w:val="auto"/>
                    <w:sz w:val="22"/>
                    <w:szCs w:val="22"/>
                  </w:rPr>
                  <w:t>identify</w:t>
                </w:r>
                <w:r w:rsidR="00F21978" w:rsidRPr="00FF02D0">
                  <w:rPr>
                    <w:color w:val="auto"/>
                    <w:sz w:val="22"/>
                    <w:szCs w:val="22"/>
                  </w:rPr>
                  <w:t>ing</w:t>
                </w:r>
                <w:r w:rsidRPr="00FF02D0">
                  <w:rPr>
                    <w:color w:val="auto"/>
                    <w:sz w:val="22"/>
                    <w:szCs w:val="22"/>
                  </w:rPr>
                  <w:t xml:space="preserve"> locations where youth experiencing housing challenges congregate</w:t>
                </w:r>
                <w:r w:rsidR="00317C02" w:rsidRPr="00FF02D0">
                  <w:rPr>
                    <w:color w:val="auto"/>
                    <w:sz w:val="22"/>
                    <w:szCs w:val="22"/>
                  </w:rPr>
                  <w:t>;</w:t>
                </w:r>
              </w:p>
              <w:p w14:paraId="1A1E5E5B" w14:textId="77777777" w:rsidR="00317C02" w:rsidRPr="00FF02D0" w:rsidRDefault="00F21978" w:rsidP="00317C02">
                <w:pPr>
                  <w:pStyle w:val="ListParagraph"/>
                  <w:numPr>
                    <w:ilvl w:val="1"/>
                    <w:numId w:val="6"/>
                  </w:numPr>
                  <w:jc w:val="left"/>
                  <w:rPr>
                    <w:color w:val="auto"/>
                    <w:sz w:val="22"/>
                    <w:szCs w:val="22"/>
                  </w:rPr>
                </w:pPr>
                <w:r w:rsidRPr="00FF02D0">
                  <w:rPr>
                    <w:color w:val="auto"/>
                    <w:sz w:val="22"/>
                    <w:szCs w:val="22"/>
                  </w:rPr>
                  <w:t>identify</w:t>
                </w:r>
                <w:r w:rsidR="00BB203E" w:rsidRPr="00FF02D0">
                  <w:rPr>
                    <w:color w:val="auto"/>
                    <w:sz w:val="22"/>
                    <w:szCs w:val="22"/>
                  </w:rPr>
                  <w:t>ing</w:t>
                </w:r>
                <w:r w:rsidRPr="00FF02D0">
                  <w:rPr>
                    <w:color w:val="auto"/>
                    <w:sz w:val="22"/>
                    <w:szCs w:val="22"/>
                  </w:rPr>
                  <w:t xml:space="preserve"> service locations utilized by youth</w:t>
                </w:r>
                <w:r w:rsidR="00317C02" w:rsidRPr="00FF02D0">
                  <w:rPr>
                    <w:color w:val="auto"/>
                    <w:sz w:val="22"/>
                    <w:szCs w:val="22"/>
                  </w:rPr>
                  <w:t>;</w:t>
                </w:r>
              </w:p>
              <w:p w14:paraId="1A16994F" w14:textId="77777777" w:rsidR="00317C02" w:rsidRPr="00FF02D0" w:rsidRDefault="00BB203E" w:rsidP="00317C02">
                <w:pPr>
                  <w:pStyle w:val="ListParagraph"/>
                  <w:numPr>
                    <w:ilvl w:val="1"/>
                    <w:numId w:val="6"/>
                  </w:numPr>
                  <w:jc w:val="left"/>
                  <w:rPr>
                    <w:color w:val="auto"/>
                    <w:sz w:val="22"/>
                    <w:szCs w:val="22"/>
                  </w:rPr>
                </w:pPr>
                <w:r w:rsidRPr="00FF02D0">
                  <w:rPr>
                    <w:color w:val="auto"/>
                    <w:sz w:val="22"/>
                    <w:szCs w:val="22"/>
                  </w:rPr>
                  <w:t>providing</w:t>
                </w:r>
                <w:r w:rsidR="00317C02" w:rsidRPr="00FF02D0">
                  <w:rPr>
                    <w:color w:val="auto"/>
                    <w:sz w:val="22"/>
                    <w:szCs w:val="22"/>
                  </w:rPr>
                  <w:t xml:space="preserve"> volunteer training for interacting with youth;</w:t>
                </w:r>
              </w:p>
              <w:p w14:paraId="700433C7" w14:textId="77777777" w:rsidR="00B20F47" w:rsidRPr="00FF02D0" w:rsidRDefault="00BB203E" w:rsidP="00317C02">
                <w:pPr>
                  <w:pStyle w:val="ListParagraph"/>
                  <w:numPr>
                    <w:ilvl w:val="1"/>
                    <w:numId w:val="6"/>
                  </w:numPr>
                  <w:jc w:val="left"/>
                  <w:rPr>
                    <w:color w:val="auto"/>
                    <w:sz w:val="22"/>
                    <w:szCs w:val="22"/>
                  </w:rPr>
                </w:pPr>
                <w:r w:rsidRPr="00FF02D0">
                  <w:rPr>
                    <w:color w:val="auto"/>
                    <w:sz w:val="22"/>
                    <w:szCs w:val="22"/>
                  </w:rPr>
                  <w:t>participating</w:t>
                </w:r>
                <w:r w:rsidR="00317C02" w:rsidRPr="00FF02D0">
                  <w:rPr>
                    <w:color w:val="auto"/>
                    <w:sz w:val="22"/>
                    <w:szCs w:val="22"/>
                  </w:rPr>
                  <w:t xml:space="preserve"> in the count on the PIT date; etc.</w:t>
                </w:r>
              </w:p>
              <w:p w14:paraId="6C434F74" w14:textId="77777777" w:rsidR="00BB203E" w:rsidRPr="00FF02D0" w:rsidRDefault="00BB203E" w:rsidP="00A132EF">
                <w:pPr>
                  <w:pStyle w:val="ListParagraph"/>
                  <w:numPr>
                    <w:ilvl w:val="0"/>
                    <w:numId w:val="6"/>
                  </w:numPr>
                  <w:jc w:val="left"/>
                  <w:rPr>
                    <w:b/>
                    <w:color w:val="auto"/>
                    <w:sz w:val="22"/>
                  </w:rPr>
                </w:pPr>
                <w:r w:rsidRPr="00FF02D0">
                  <w:rPr>
                    <w:color w:val="auto"/>
                    <w:sz w:val="22"/>
                  </w:rPr>
                  <w:t xml:space="preserve">Focus groups may provide </w:t>
                </w:r>
                <w:r w:rsidR="0075593F">
                  <w:rPr>
                    <w:color w:val="auto"/>
                    <w:sz w:val="22"/>
                  </w:rPr>
                  <w:t xml:space="preserve">youth </w:t>
                </w:r>
                <w:r w:rsidRPr="00FF02D0">
                  <w:rPr>
                    <w:color w:val="auto"/>
                    <w:sz w:val="22"/>
                  </w:rPr>
                  <w:t xml:space="preserve">an opportunity to </w:t>
                </w:r>
                <w:r w:rsidR="0075593F">
                  <w:rPr>
                    <w:color w:val="auto"/>
                    <w:sz w:val="22"/>
                  </w:rPr>
                  <w:t>provide input on planning.</w:t>
                </w:r>
              </w:p>
              <w:p w14:paraId="6D4C0036" w14:textId="77777777" w:rsidR="00A132EF" w:rsidRPr="00FF02D0" w:rsidRDefault="00A132EF" w:rsidP="00A132EF">
                <w:pPr>
                  <w:pStyle w:val="ListParagraph"/>
                  <w:numPr>
                    <w:ilvl w:val="0"/>
                    <w:numId w:val="6"/>
                  </w:numPr>
                  <w:jc w:val="left"/>
                  <w:rPr>
                    <w:b/>
                    <w:color w:val="auto"/>
                    <w:sz w:val="22"/>
                  </w:rPr>
                </w:pPr>
                <w:r w:rsidRPr="00FF02D0">
                  <w:rPr>
                    <w:color w:val="auto"/>
                    <w:sz w:val="22"/>
                    <w:szCs w:val="22"/>
                  </w:rPr>
                  <w:t>T</w:t>
                </w:r>
                <w:r w:rsidR="008C1C42" w:rsidRPr="00FF02D0">
                  <w:rPr>
                    <w:color w:val="auto"/>
                    <w:sz w:val="22"/>
                    <w:szCs w:val="22"/>
                  </w:rPr>
                  <w:t>he systems</w:t>
                </w:r>
                <w:r w:rsidR="00A30DE1" w:rsidRPr="00FF02D0">
                  <w:rPr>
                    <w:color w:val="auto"/>
                    <w:sz w:val="22"/>
                    <w:szCs w:val="22"/>
                  </w:rPr>
                  <w:t xml:space="preserve"> </w:t>
                </w:r>
                <w:r w:rsidRPr="00FF02D0">
                  <w:rPr>
                    <w:color w:val="auto"/>
                    <w:sz w:val="22"/>
                    <w:szCs w:val="22"/>
                  </w:rPr>
                  <w:t>identified</w:t>
                </w:r>
                <w:r w:rsidR="00A30DE1" w:rsidRPr="00FF02D0">
                  <w:rPr>
                    <w:color w:val="auto"/>
                    <w:sz w:val="22"/>
                    <w:szCs w:val="22"/>
                  </w:rPr>
                  <w:t xml:space="preserve"> above </w:t>
                </w:r>
                <w:r w:rsidRPr="00FF02D0">
                  <w:rPr>
                    <w:color w:val="auto"/>
                    <w:sz w:val="22"/>
                    <w:szCs w:val="22"/>
                  </w:rPr>
                  <w:t xml:space="preserve">and local homeless assistance providers </w:t>
                </w:r>
                <w:r w:rsidR="0075593F">
                  <w:rPr>
                    <w:color w:val="auto"/>
                    <w:sz w:val="22"/>
                    <w:szCs w:val="22"/>
                  </w:rPr>
                  <w:t>are a good resource to help c</w:t>
                </w:r>
                <w:r w:rsidRPr="00FF02D0">
                  <w:rPr>
                    <w:color w:val="auto"/>
                    <w:sz w:val="22"/>
                    <w:szCs w:val="22"/>
                  </w:rPr>
                  <w:t xml:space="preserve">onnect you </w:t>
                </w:r>
                <w:r w:rsidR="00BB203E" w:rsidRPr="00FF02D0">
                  <w:rPr>
                    <w:color w:val="auto"/>
                    <w:sz w:val="22"/>
                    <w:szCs w:val="22"/>
                  </w:rPr>
                  <w:t>with</w:t>
                </w:r>
                <w:r w:rsidRPr="00FF02D0">
                  <w:rPr>
                    <w:color w:val="auto"/>
                    <w:sz w:val="22"/>
                    <w:szCs w:val="22"/>
                  </w:rPr>
                  <w:t xml:space="preserve"> youth </w:t>
                </w:r>
                <w:r w:rsidR="0075593F">
                  <w:rPr>
                    <w:color w:val="auto"/>
                    <w:sz w:val="22"/>
                    <w:szCs w:val="22"/>
                  </w:rPr>
                  <w:t xml:space="preserve">to </w:t>
                </w:r>
                <w:r w:rsidRPr="00FF02D0">
                  <w:rPr>
                    <w:color w:val="auto"/>
                    <w:sz w:val="22"/>
                    <w:szCs w:val="22"/>
                  </w:rPr>
                  <w:t>invite to participate in the PIT count process.</w:t>
                </w:r>
              </w:p>
              <w:p w14:paraId="17B10730" w14:textId="77777777" w:rsidR="00A132EF" w:rsidRPr="00BB203E" w:rsidRDefault="00A30DE1" w:rsidP="00BB203E">
                <w:pPr>
                  <w:pStyle w:val="ListParagraph"/>
                  <w:numPr>
                    <w:ilvl w:val="1"/>
                    <w:numId w:val="6"/>
                  </w:numPr>
                  <w:spacing w:after="180"/>
                  <w:jc w:val="left"/>
                  <w:rPr>
                    <w:b/>
                    <w:color w:val="auto"/>
                    <w:sz w:val="22"/>
                  </w:rPr>
                </w:pPr>
                <w:r w:rsidRPr="00FF02D0">
                  <w:rPr>
                    <w:color w:val="auto"/>
                    <w:sz w:val="22"/>
                    <w:szCs w:val="22"/>
                  </w:rPr>
                  <w:t>While not a requirement, many communities have offered payment or other incentives to youth as compensation for their participation in the PIT.</w:t>
                </w:r>
              </w:p>
            </w:tc>
          </w:tr>
        </w:sdtContent>
      </w:sdt>
    </w:tbl>
    <w:p w14:paraId="6D1756E6" w14:textId="77777777" w:rsidR="00D32139" w:rsidRPr="00C0175A" w:rsidRDefault="00A30DE1">
      <w:pPr>
        <w:pStyle w:val="Heading2"/>
        <w:rPr>
          <w:color w:val="1F4E79" w:themeColor="accent1" w:themeShade="80"/>
        </w:rPr>
      </w:pPr>
      <w:r w:rsidRPr="00C0175A">
        <w:rPr>
          <w:color w:val="1F4E79" w:themeColor="accent1" w:themeShade="80"/>
        </w:rPr>
        <w:t xml:space="preserve">Identify </w:t>
      </w:r>
      <w:r w:rsidR="00317C02">
        <w:rPr>
          <w:color w:val="1F4E79" w:themeColor="accent1" w:themeShade="80"/>
        </w:rPr>
        <w:t xml:space="preserve">Youth </w:t>
      </w:r>
      <w:r w:rsidRPr="00C0175A">
        <w:rPr>
          <w:color w:val="1F4E79" w:themeColor="accent1" w:themeShade="80"/>
        </w:rPr>
        <w:t>Hot Spots</w:t>
      </w:r>
    </w:p>
    <w:tbl>
      <w:tblPr>
        <w:tblStyle w:val="TipTable"/>
        <w:tblW w:w="5000" w:type="pct"/>
        <w:tblLook w:val="04A0" w:firstRow="1" w:lastRow="0" w:firstColumn="1" w:lastColumn="0" w:noHBand="0" w:noVBand="1"/>
      </w:tblPr>
      <w:tblGrid>
        <w:gridCol w:w="9360"/>
      </w:tblGrid>
      <w:tr w:rsidR="006048BA" w14:paraId="1A7EEC6E" w14:textId="77777777" w:rsidTr="006048BA">
        <w:tc>
          <w:tcPr>
            <w:cnfStyle w:val="001000000000" w:firstRow="0" w:lastRow="0" w:firstColumn="1" w:lastColumn="0" w:oddVBand="0" w:evenVBand="0" w:oddHBand="0" w:evenHBand="0" w:firstRowFirstColumn="0" w:firstRowLastColumn="0" w:lastRowFirstColumn="0" w:lastRowLastColumn="0"/>
            <w:tcW w:w="5000" w:type="pct"/>
          </w:tcPr>
          <w:p w14:paraId="336D9F94" w14:textId="77777777" w:rsidR="00317C02" w:rsidRPr="00FF02D0" w:rsidRDefault="00A132EF" w:rsidP="00317C02">
            <w:pPr>
              <w:pStyle w:val="ListParagraph"/>
              <w:numPr>
                <w:ilvl w:val="0"/>
                <w:numId w:val="6"/>
              </w:numPr>
              <w:jc w:val="left"/>
              <w:rPr>
                <w:color w:val="auto"/>
                <w:sz w:val="22"/>
                <w:szCs w:val="22"/>
              </w:rPr>
            </w:pPr>
            <w:r w:rsidRPr="00FF02D0">
              <w:rPr>
                <w:color w:val="auto"/>
                <w:sz w:val="22"/>
                <w:szCs w:val="22"/>
              </w:rPr>
              <w:t>In many communities, y</w:t>
            </w:r>
            <w:r w:rsidR="006048BA" w:rsidRPr="00FF02D0">
              <w:rPr>
                <w:color w:val="auto"/>
                <w:sz w:val="22"/>
                <w:szCs w:val="22"/>
              </w:rPr>
              <w:t xml:space="preserve">outh </w:t>
            </w:r>
            <w:r w:rsidR="00317C02" w:rsidRPr="00FF02D0">
              <w:rPr>
                <w:color w:val="auto"/>
                <w:sz w:val="22"/>
                <w:szCs w:val="22"/>
              </w:rPr>
              <w:t xml:space="preserve">have </w:t>
            </w:r>
            <w:r w:rsidRPr="00FF02D0">
              <w:rPr>
                <w:color w:val="auto"/>
                <w:sz w:val="22"/>
                <w:szCs w:val="22"/>
              </w:rPr>
              <w:t xml:space="preserve">been </w:t>
            </w:r>
            <w:r w:rsidR="00317C02" w:rsidRPr="00FF02D0">
              <w:rPr>
                <w:color w:val="auto"/>
                <w:sz w:val="22"/>
                <w:szCs w:val="22"/>
              </w:rPr>
              <w:t>historically</w:t>
            </w:r>
            <w:r w:rsidR="00C0175A" w:rsidRPr="00FF02D0">
              <w:rPr>
                <w:color w:val="auto"/>
                <w:sz w:val="22"/>
                <w:szCs w:val="22"/>
              </w:rPr>
              <w:t xml:space="preserve"> under</w:t>
            </w:r>
            <w:r w:rsidR="00317C02" w:rsidRPr="00FF02D0">
              <w:rPr>
                <w:color w:val="auto"/>
                <w:sz w:val="22"/>
                <w:szCs w:val="22"/>
              </w:rPr>
              <w:t>-</w:t>
            </w:r>
            <w:r w:rsidR="00C0175A" w:rsidRPr="00FF02D0">
              <w:rPr>
                <w:color w:val="auto"/>
                <w:sz w:val="22"/>
                <w:szCs w:val="22"/>
              </w:rPr>
              <w:t xml:space="preserve">represented </w:t>
            </w:r>
            <w:r w:rsidR="00317C02" w:rsidRPr="00FF02D0">
              <w:rPr>
                <w:color w:val="auto"/>
                <w:sz w:val="22"/>
                <w:szCs w:val="22"/>
              </w:rPr>
              <w:t xml:space="preserve">in </w:t>
            </w:r>
            <w:r w:rsidRPr="00FF02D0">
              <w:rPr>
                <w:color w:val="auto"/>
                <w:sz w:val="22"/>
                <w:szCs w:val="22"/>
              </w:rPr>
              <w:t xml:space="preserve">their </w:t>
            </w:r>
            <w:r w:rsidR="00317C02" w:rsidRPr="00FF02D0">
              <w:rPr>
                <w:color w:val="auto"/>
                <w:sz w:val="22"/>
                <w:szCs w:val="22"/>
              </w:rPr>
              <w:t xml:space="preserve">PIT count.  It may be that youth </w:t>
            </w:r>
            <w:r w:rsidR="0075593F">
              <w:rPr>
                <w:color w:val="auto"/>
                <w:sz w:val="22"/>
                <w:szCs w:val="22"/>
              </w:rPr>
              <w:t>gather</w:t>
            </w:r>
            <w:r w:rsidR="00317C02" w:rsidRPr="00FF02D0">
              <w:rPr>
                <w:color w:val="auto"/>
                <w:sz w:val="22"/>
                <w:szCs w:val="22"/>
              </w:rPr>
              <w:t xml:space="preserve">, obtain services and/or sleep in locations other than those that have been </w:t>
            </w:r>
            <w:r w:rsidRPr="00FF02D0">
              <w:rPr>
                <w:color w:val="auto"/>
                <w:sz w:val="22"/>
                <w:szCs w:val="22"/>
              </w:rPr>
              <w:t xml:space="preserve">previously </w:t>
            </w:r>
            <w:r w:rsidR="00317C02" w:rsidRPr="00FF02D0">
              <w:rPr>
                <w:color w:val="auto"/>
                <w:sz w:val="22"/>
                <w:szCs w:val="22"/>
              </w:rPr>
              <w:t xml:space="preserve">targeted for the PIT count. </w:t>
            </w:r>
          </w:p>
          <w:p w14:paraId="0F8FCB82" w14:textId="77777777" w:rsidR="006048BA" w:rsidRPr="006048BA" w:rsidRDefault="00317C02" w:rsidP="0075593F">
            <w:pPr>
              <w:pStyle w:val="ListParagraph"/>
              <w:numPr>
                <w:ilvl w:val="0"/>
                <w:numId w:val="6"/>
              </w:numPr>
              <w:spacing w:after="180"/>
              <w:jc w:val="left"/>
              <w:rPr>
                <w:color w:val="auto"/>
                <w:sz w:val="22"/>
                <w:szCs w:val="22"/>
              </w:rPr>
            </w:pPr>
            <w:r w:rsidRPr="00FF02D0">
              <w:rPr>
                <w:color w:val="auto"/>
                <w:sz w:val="22"/>
                <w:szCs w:val="22"/>
              </w:rPr>
              <w:t xml:space="preserve">Youth and/or the organizations that serve them may be able to </w:t>
            </w:r>
            <w:r w:rsidR="006048BA" w:rsidRPr="00FF02D0">
              <w:rPr>
                <w:color w:val="auto"/>
                <w:sz w:val="22"/>
                <w:szCs w:val="22"/>
              </w:rPr>
              <w:t xml:space="preserve">enhance your PIT planning efforts by identifying </w:t>
            </w:r>
            <w:r w:rsidRPr="00FF02D0">
              <w:rPr>
                <w:i/>
                <w:color w:val="auto"/>
                <w:sz w:val="22"/>
                <w:szCs w:val="22"/>
              </w:rPr>
              <w:t>youth hot spots</w:t>
            </w:r>
            <w:r w:rsidRPr="00FF02D0">
              <w:rPr>
                <w:color w:val="auto"/>
                <w:sz w:val="22"/>
                <w:szCs w:val="22"/>
              </w:rPr>
              <w:t xml:space="preserve">, </w:t>
            </w:r>
            <w:r w:rsidR="006048BA" w:rsidRPr="00FF02D0">
              <w:rPr>
                <w:color w:val="auto"/>
                <w:sz w:val="22"/>
                <w:szCs w:val="22"/>
              </w:rPr>
              <w:t xml:space="preserve">locations where youth experiencing housing challenges may </w:t>
            </w:r>
            <w:r w:rsidR="0075593F">
              <w:rPr>
                <w:color w:val="auto"/>
                <w:sz w:val="22"/>
                <w:szCs w:val="22"/>
              </w:rPr>
              <w:t>gather</w:t>
            </w:r>
            <w:r w:rsidR="006048BA" w:rsidRPr="00FF02D0">
              <w:rPr>
                <w:color w:val="auto"/>
                <w:sz w:val="22"/>
                <w:szCs w:val="22"/>
              </w:rPr>
              <w:t xml:space="preserve"> and/or </w:t>
            </w:r>
            <w:r w:rsidR="00893C56" w:rsidRPr="00FF02D0">
              <w:rPr>
                <w:color w:val="auto"/>
                <w:sz w:val="22"/>
                <w:szCs w:val="22"/>
              </w:rPr>
              <w:t>go to receive services</w:t>
            </w:r>
            <w:r w:rsidR="006048BA" w:rsidRPr="00FF02D0">
              <w:rPr>
                <w:color w:val="auto"/>
                <w:sz w:val="22"/>
                <w:szCs w:val="22"/>
              </w:rPr>
              <w:t xml:space="preserve">.  </w:t>
            </w:r>
          </w:p>
        </w:tc>
      </w:tr>
    </w:tbl>
    <w:p w14:paraId="12410644" w14:textId="77777777" w:rsidR="00D32139" w:rsidRPr="00C0175A" w:rsidRDefault="00317C02">
      <w:pPr>
        <w:pStyle w:val="Heading2"/>
        <w:rPr>
          <w:color w:val="1F4E79" w:themeColor="accent1" w:themeShade="80"/>
        </w:rPr>
      </w:pPr>
      <w:r>
        <w:rPr>
          <w:color w:val="1F4E79" w:themeColor="accent1" w:themeShade="80"/>
        </w:rPr>
        <w:t>Plan with Safety in Mind</w:t>
      </w:r>
    </w:p>
    <w:tbl>
      <w:tblPr>
        <w:tblStyle w:val="TipTable"/>
        <w:tblW w:w="5000" w:type="pct"/>
        <w:tblLook w:val="04A0" w:firstRow="1" w:lastRow="0" w:firstColumn="1" w:lastColumn="0" w:noHBand="0" w:noVBand="1"/>
      </w:tblPr>
      <w:tblGrid>
        <w:gridCol w:w="9360"/>
      </w:tblGrid>
      <w:tr w:rsidR="00317C02" w:rsidRPr="00317C02" w14:paraId="257DBC33" w14:textId="77777777" w:rsidTr="00317C02">
        <w:tc>
          <w:tcPr>
            <w:cnfStyle w:val="001000000000" w:firstRow="0" w:lastRow="0" w:firstColumn="1" w:lastColumn="0" w:oddVBand="0" w:evenVBand="0" w:oddHBand="0" w:evenHBand="0" w:firstRowFirstColumn="0" w:firstRowLastColumn="0" w:lastRowFirstColumn="0" w:lastRowLastColumn="0"/>
            <w:tcW w:w="5000" w:type="pct"/>
          </w:tcPr>
          <w:p w14:paraId="639A0B0F" w14:textId="77777777" w:rsidR="00A132EF" w:rsidRPr="00FF02D0" w:rsidRDefault="00A132EF" w:rsidP="00A132EF">
            <w:pPr>
              <w:pStyle w:val="ListParagraph"/>
              <w:numPr>
                <w:ilvl w:val="0"/>
                <w:numId w:val="6"/>
              </w:numPr>
              <w:jc w:val="left"/>
              <w:rPr>
                <w:color w:val="auto"/>
                <w:sz w:val="22"/>
                <w:szCs w:val="22"/>
              </w:rPr>
            </w:pPr>
            <w:r w:rsidRPr="00FF02D0">
              <w:rPr>
                <w:color w:val="auto"/>
                <w:sz w:val="22"/>
                <w:szCs w:val="22"/>
              </w:rPr>
              <w:t xml:space="preserve">Precautions should be taken to ensure that participation in </w:t>
            </w:r>
            <w:r w:rsidR="00893C56" w:rsidRPr="00FF02D0">
              <w:rPr>
                <w:color w:val="auto"/>
                <w:sz w:val="22"/>
                <w:szCs w:val="22"/>
              </w:rPr>
              <w:t>the PIT</w:t>
            </w:r>
            <w:r w:rsidRPr="00FF02D0">
              <w:rPr>
                <w:color w:val="auto"/>
                <w:sz w:val="22"/>
                <w:szCs w:val="22"/>
              </w:rPr>
              <w:t xml:space="preserve"> survey is voluntary and that the safety and privacy of youth are respected.  </w:t>
            </w:r>
          </w:p>
          <w:p w14:paraId="27A72CAC" w14:textId="77777777" w:rsidR="00317C02" w:rsidRPr="00FF02D0" w:rsidRDefault="00EE25A0" w:rsidP="00A132EF">
            <w:pPr>
              <w:pStyle w:val="ListParagraph"/>
              <w:numPr>
                <w:ilvl w:val="0"/>
                <w:numId w:val="6"/>
              </w:numPr>
              <w:jc w:val="left"/>
              <w:rPr>
                <w:color w:val="auto"/>
                <w:sz w:val="22"/>
              </w:rPr>
            </w:pPr>
            <w:r w:rsidRPr="00FF02D0">
              <w:rPr>
                <w:color w:val="auto"/>
                <w:sz w:val="22"/>
                <w:szCs w:val="22"/>
              </w:rPr>
              <w:t>Extra precautions about safety should be considered when identifying specific su</w:t>
            </w:r>
            <w:r w:rsidR="00A132EF" w:rsidRPr="00FF02D0">
              <w:rPr>
                <w:color w:val="auto"/>
                <w:sz w:val="22"/>
                <w:szCs w:val="22"/>
              </w:rPr>
              <w:t>bpopulations of youth (such as LGBTQ)</w:t>
            </w:r>
            <w:r w:rsidRPr="00FF02D0">
              <w:rPr>
                <w:color w:val="auto"/>
                <w:sz w:val="22"/>
                <w:szCs w:val="22"/>
              </w:rPr>
              <w:t xml:space="preserve">.  </w:t>
            </w:r>
            <w:r w:rsidR="00A132EF" w:rsidRPr="00FF02D0">
              <w:rPr>
                <w:color w:val="auto"/>
                <w:sz w:val="22"/>
                <w:szCs w:val="22"/>
              </w:rPr>
              <w:t xml:space="preserve">It may be helpful to hold focus groups with </w:t>
            </w:r>
            <w:r w:rsidRPr="00FF02D0">
              <w:rPr>
                <w:color w:val="auto"/>
                <w:sz w:val="22"/>
                <w:szCs w:val="22"/>
              </w:rPr>
              <w:t xml:space="preserve">these </w:t>
            </w:r>
            <w:r w:rsidR="00A132EF" w:rsidRPr="00FF02D0">
              <w:rPr>
                <w:color w:val="auto"/>
                <w:sz w:val="22"/>
                <w:szCs w:val="22"/>
              </w:rPr>
              <w:t>youth</w:t>
            </w:r>
            <w:r w:rsidRPr="00FF02D0">
              <w:rPr>
                <w:color w:val="auto"/>
                <w:sz w:val="22"/>
                <w:szCs w:val="22"/>
              </w:rPr>
              <w:t xml:space="preserve"> at provider locations or</w:t>
            </w:r>
            <w:r w:rsidR="00A132EF" w:rsidRPr="00FF02D0">
              <w:rPr>
                <w:color w:val="auto"/>
                <w:sz w:val="22"/>
                <w:szCs w:val="22"/>
              </w:rPr>
              <w:t xml:space="preserve"> drop-in centers where </w:t>
            </w:r>
            <w:r w:rsidRPr="00FF02D0">
              <w:rPr>
                <w:color w:val="auto"/>
                <w:sz w:val="22"/>
                <w:szCs w:val="22"/>
              </w:rPr>
              <w:t xml:space="preserve">they </w:t>
            </w:r>
            <w:r w:rsidR="00A132EF" w:rsidRPr="00FF02D0">
              <w:rPr>
                <w:color w:val="auto"/>
                <w:sz w:val="22"/>
                <w:szCs w:val="22"/>
              </w:rPr>
              <w:t xml:space="preserve">already </w:t>
            </w:r>
            <w:r w:rsidR="0075593F">
              <w:rPr>
                <w:color w:val="auto"/>
                <w:sz w:val="22"/>
                <w:szCs w:val="22"/>
              </w:rPr>
              <w:t>gather</w:t>
            </w:r>
            <w:r w:rsidR="00A132EF" w:rsidRPr="00FF02D0">
              <w:rPr>
                <w:color w:val="auto"/>
                <w:sz w:val="22"/>
                <w:szCs w:val="22"/>
              </w:rPr>
              <w:t>.</w:t>
            </w:r>
          </w:p>
          <w:p w14:paraId="53697D61" w14:textId="77777777" w:rsidR="00A132EF" w:rsidRPr="00FF02D0" w:rsidRDefault="00A132EF" w:rsidP="000E311E">
            <w:pPr>
              <w:pStyle w:val="ListParagraph"/>
              <w:numPr>
                <w:ilvl w:val="0"/>
                <w:numId w:val="6"/>
              </w:numPr>
              <w:spacing w:after="180"/>
              <w:jc w:val="left"/>
              <w:rPr>
                <w:color w:val="auto"/>
                <w:sz w:val="22"/>
              </w:rPr>
            </w:pPr>
            <w:r w:rsidRPr="00FF02D0">
              <w:rPr>
                <w:color w:val="auto"/>
                <w:sz w:val="22"/>
                <w:szCs w:val="22"/>
              </w:rPr>
              <w:t>If your community is hosting a “come and be counted” type of event</w:t>
            </w:r>
            <w:r w:rsidR="00EE25A0" w:rsidRPr="00FF02D0">
              <w:rPr>
                <w:color w:val="auto"/>
                <w:sz w:val="22"/>
                <w:szCs w:val="22"/>
              </w:rPr>
              <w:t>, safety must be</w:t>
            </w:r>
            <w:r w:rsidRPr="00FF02D0">
              <w:rPr>
                <w:color w:val="auto"/>
                <w:sz w:val="22"/>
                <w:szCs w:val="22"/>
              </w:rPr>
              <w:t xml:space="preserve"> considered within the context of advertising for the event.  Considerations include ensuring that youth know where to go, but stop short of informing the larger community about the date and time that vulnerable youth will be gathering. </w:t>
            </w:r>
          </w:p>
          <w:p w14:paraId="10FBC33D" w14:textId="77777777" w:rsidR="000E311E" w:rsidRPr="00317C02" w:rsidRDefault="000E311E" w:rsidP="000E311E">
            <w:pPr>
              <w:pStyle w:val="ListParagraph"/>
              <w:numPr>
                <w:ilvl w:val="1"/>
                <w:numId w:val="6"/>
              </w:numPr>
              <w:spacing w:after="180"/>
              <w:jc w:val="left"/>
              <w:rPr>
                <w:color w:val="auto"/>
                <w:sz w:val="22"/>
              </w:rPr>
            </w:pPr>
            <w:r w:rsidRPr="00FF02D0">
              <w:rPr>
                <w:color w:val="auto"/>
                <w:sz w:val="22"/>
                <w:szCs w:val="22"/>
              </w:rPr>
              <w:t xml:space="preserve">Instead, the school district liaisons may be helpful in getting event information directly to youth experiencing housing challenges. </w:t>
            </w:r>
          </w:p>
        </w:tc>
      </w:tr>
    </w:tbl>
    <w:p w14:paraId="63A9BD7A" w14:textId="77777777" w:rsidR="00D32139" w:rsidRPr="00C0175A" w:rsidRDefault="00B359BB">
      <w:pPr>
        <w:pStyle w:val="Heading2"/>
        <w:rPr>
          <w:color w:val="1F4E79" w:themeColor="accent1" w:themeShade="80"/>
        </w:rPr>
      </w:pPr>
      <w:r>
        <w:rPr>
          <w:color w:val="1F4E79" w:themeColor="accent1" w:themeShade="80"/>
        </w:rPr>
        <w:t>Provide Local Training</w:t>
      </w:r>
      <w:r w:rsidR="00EE25A0">
        <w:rPr>
          <w:color w:val="1F4E79" w:themeColor="accent1" w:themeShade="80"/>
        </w:rPr>
        <w:t>:  Language and Safety</w:t>
      </w:r>
    </w:p>
    <w:tbl>
      <w:tblPr>
        <w:tblStyle w:val="TipTable"/>
        <w:tblW w:w="5000" w:type="pct"/>
        <w:tblLook w:val="04A0" w:firstRow="1" w:lastRow="0" w:firstColumn="1" w:lastColumn="0" w:noHBand="0" w:noVBand="1"/>
      </w:tblPr>
      <w:tblGrid>
        <w:gridCol w:w="9360"/>
      </w:tblGrid>
      <w:tr w:rsidR="00B359BB" w:rsidRPr="00A132EF" w14:paraId="6ACBBC8F" w14:textId="77777777" w:rsidTr="00A132EF">
        <w:tc>
          <w:tcPr>
            <w:cnfStyle w:val="001000000000" w:firstRow="0" w:lastRow="0" w:firstColumn="1" w:lastColumn="0" w:oddVBand="0" w:evenVBand="0" w:oddHBand="0" w:evenHBand="0" w:firstRowFirstColumn="0" w:firstRowLastColumn="0" w:lastRowFirstColumn="0" w:lastRowLastColumn="0"/>
            <w:tcW w:w="5000" w:type="pct"/>
          </w:tcPr>
          <w:p w14:paraId="01D6E012" w14:textId="7466B217" w:rsidR="00A132EF" w:rsidRPr="00FF02D0" w:rsidRDefault="000E311E" w:rsidP="00A132EF">
            <w:pPr>
              <w:pStyle w:val="ListParagraph"/>
              <w:numPr>
                <w:ilvl w:val="0"/>
                <w:numId w:val="6"/>
              </w:numPr>
              <w:jc w:val="left"/>
              <w:rPr>
                <w:color w:val="auto"/>
                <w:sz w:val="22"/>
                <w:szCs w:val="22"/>
              </w:rPr>
            </w:pPr>
            <w:r w:rsidRPr="00FF02D0">
              <w:rPr>
                <w:color w:val="auto"/>
                <w:sz w:val="22"/>
                <w:szCs w:val="22"/>
              </w:rPr>
              <w:t xml:space="preserve">Many </w:t>
            </w:r>
            <w:proofErr w:type="gramStart"/>
            <w:r w:rsidRPr="00FF02D0">
              <w:rPr>
                <w:color w:val="auto"/>
                <w:sz w:val="22"/>
                <w:szCs w:val="22"/>
              </w:rPr>
              <w:t>youth</w:t>
            </w:r>
            <w:proofErr w:type="gramEnd"/>
            <w:r w:rsidRPr="00FF02D0">
              <w:rPr>
                <w:color w:val="auto"/>
                <w:sz w:val="22"/>
                <w:szCs w:val="22"/>
              </w:rPr>
              <w:t xml:space="preserve"> who lack a permanent housing arrangement do not self-identify as “homeless</w:t>
            </w:r>
            <w:r w:rsidR="0075593F">
              <w:rPr>
                <w:color w:val="auto"/>
                <w:sz w:val="22"/>
                <w:szCs w:val="22"/>
              </w:rPr>
              <w:t>.</w:t>
            </w:r>
            <w:r w:rsidRPr="00FF02D0">
              <w:rPr>
                <w:color w:val="auto"/>
                <w:sz w:val="22"/>
                <w:szCs w:val="22"/>
              </w:rPr>
              <w:t>”  Additionally, y</w:t>
            </w:r>
            <w:r w:rsidR="00A132EF" w:rsidRPr="00FF02D0">
              <w:rPr>
                <w:color w:val="auto"/>
                <w:sz w:val="22"/>
                <w:szCs w:val="22"/>
              </w:rPr>
              <w:t xml:space="preserve">outh who are experiencing homelessness or </w:t>
            </w:r>
            <w:r w:rsidR="00EE25A0" w:rsidRPr="00FF02D0">
              <w:rPr>
                <w:color w:val="auto"/>
                <w:sz w:val="22"/>
                <w:szCs w:val="22"/>
              </w:rPr>
              <w:t xml:space="preserve">unstably </w:t>
            </w:r>
            <w:r w:rsidR="00A132EF" w:rsidRPr="00FF02D0">
              <w:rPr>
                <w:color w:val="auto"/>
                <w:sz w:val="22"/>
                <w:szCs w:val="22"/>
              </w:rPr>
              <w:t>hous</w:t>
            </w:r>
            <w:r w:rsidR="00EE25A0" w:rsidRPr="00FF02D0">
              <w:rPr>
                <w:color w:val="auto"/>
                <w:sz w:val="22"/>
                <w:szCs w:val="22"/>
              </w:rPr>
              <w:t>ed</w:t>
            </w:r>
            <w:r w:rsidR="00A132EF" w:rsidRPr="00FF02D0">
              <w:rPr>
                <w:color w:val="auto"/>
                <w:sz w:val="22"/>
                <w:szCs w:val="22"/>
              </w:rPr>
              <w:t xml:space="preserve"> are often not visually distinguishable from youth who are stably housed.  </w:t>
            </w:r>
            <w:r w:rsidRPr="00FF02D0">
              <w:rPr>
                <w:color w:val="auto"/>
                <w:sz w:val="22"/>
                <w:szCs w:val="22"/>
              </w:rPr>
              <w:t xml:space="preserve">For that </w:t>
            </w:r>
            <w:proofErr w:type="gramStart"/>
            <w:r w:rsidRPr="00FF02D0">
              <w:rPr>
                <w:color w:val="auto"/>
                <w:sz w:val="22"/>
                <w:szCs w:val="22"/>
              </w:rPr>
              <w:t>reason</w:t>
            </w:r>
            <w:proofErr w:type="gramEnd"/>
            <w:r w:rsidRPr="00FF02D0">
              <w:rPr>
                <w:color w:val="auto"/>
                <w:sz w:val="22"/>
                <w:szCs w:val="22"/>
              </w:rPr>
              <w:t xml:space="preserve"> </w:t>
            </w:r>
            <w:r w:rsidR="00D467C8">
              <w:rPr>
                <w:color w:val="auto"/>
                <w:sz w:val="22"/>
                <w:szCs w:val="22"/>
              </w:rPr>
              <w:t>you may wish to use the terminology</w:t>
            </w:r>
            <w:r w:rsidRPr="00FF02D0">
              <w:rPr>
                <w:color w:val="auto"/>
                <w:sz w:val="22"/>
                <w:szCs w:val="22"/>
              </w:rPr>
              <w:t xml:space="preserve"> </w:t>
            </w:r>
            <w:r w:rsidR="00EE25A0" w:rsidRPr="00FF02D0">
              <w:rPr>
                <w:color w:val="auto"/>
                <w:sz w:val="22"/>
                <w:szCs w:val="22"/>
              </w:rPr>
              <w:t>“</w:t>
            </w:r>
            <w:r w:rsidRPr="00FF02D0">
              <w:rPr>
                <w:color w:val="auto"/>
                <w:sz w:val="22"/>
                <w:szCs w:val="22"/>
              </w:rPr>
              <w:t>housing challenges</w:t>
            </w:r>
            <w:r w:rsidR="00EE25A0" w:rsidRPr="00FF02D0">
              <w:rPr>
                <w:color w:val="auto"/>
                <w:sz w:val="22"/>
                <w:szCs w:val="22"/>
              </w:rPr>
              <w:t>” rather than homelessness</w:t>
            </w:r>
            <w:r w:rsidR="00D467C8">
              <w:rPr>
                <w:color w:val="auto"/>
                <w:sz w:val="22"/>
                <w:szCs w:val="22"/>
              </w:rPr>
              <w:t xml:space="preserve"> when explaining why you are conducting the PIT Count survey</w:t>
            </w:r>
            <w:r w:rsidRPr="00FF02D0">
              <w:rPr>
                <w:color w:val="auto"/>
                <w:sz w:val="22"/>
                <w:szCs w:val="22"/>
              </w:rPr>
              <w:t>.</w:t>
            </w:r>
          </w:p>
          <w:p w14:paraId="2B5EB17C" w14:textId="77777777" w:rsidR="00B359BB" w:rsidRPr="00A132EF" w:rsidRDefault="002E6DBC" w:rsidP="00AD1B77">
            <w:pPr>
              <w:pStyle w:val="ListParagraph"/>
              <w:numPr>
                <w:ilvl w:val="0"/>
                <w:numId w:val="6"/>
              </w:numPr>
              <w:spacing w:after="180"/>
              <w:jc w:val="left"/>
              <w:rPr>
                <w:color w:val="auto"/>
                <w:sz w:val="22"/>
                <w:szCs w:val="22"/>
              </w:rPr>
            </w:pPr>
            <w:r w:rsidRPr="00FF02D0">
              <w:rPr>
                <w:color w:val="auto"/>
                <w:sz w:val="22"/>
                <w:szCs w:val="22"/>
              </w:rPr>
              <w:t>Local training should include tips for approach</w:t>
            </w:r>
            <w:r w:rsidR="00AD1B77" w:rsidRPr="00FF02D0">
              <w:rPr>
                <w:color w:val="auto"/>
                <w:sz w:val="22"/>
                <w:szCs w:val="22"/>
              </w:rPr>
              <w:t>ing</w:t>
            </w:r>
            <w:r w:rsidRPr="00FF02D0">
              <w:rPr>
                <w:color w:val="auto"/>
                <w:sz w:val="22"/>
                <w:szCs w:val="22"/>
              </w:rPr>
              <w:t xml:space="preserve"> youth in order to </w:t>
            </w:r>
            <w:r w:rsidR="00AD1B77" w:rsidRPr="00FF02D0">
              <w:rPr>
                <w:color w:val="auto"/>
                <w:sz w:val="22"/>
                <w:szCs w:val="22"/>
              </w:rPr>
              <w:t>ensure safety</w:t>
            </w:r>
            <w:r w:rsidRPr="00FF02D0">
              <w:rPr>
                <w:color w:val="auto"/>
                <w:sz w:val="22"/>
                <w:szCs w:val="22"/>
              </w:rPr>
              <w:t>.</w:t>
            </w:r>
          </w:p>
        </w:tc>
        <w:bookmarkStart w:id="0" w:name="_GoBack"/>
        <w:bookmarkEnd w:id="0"/>
      </w:tr>
    </w:tbl>
    <w:p w14:paraId="250DBAFA" w14:textId="77777777" w:rsidR="00EE41E6" w:rsidRPr="00EE41E6" w:rsidRDefault="00EE41E6" w:rsidP="00EE41E6">
      <w:pPr>
        <w:spacing w:after="0"/>
        <w:rPr>
          <w:color w:val="auto"/>
          <w:sz w:val="8"/>
          <w:szCs w:val="8"/>
        </w:rPr>
      </w:pPr>
    </w:p>
    <w:p w14:paraId="1ACADA92" w14:textId="77777777" w:rsidR="00EE41E6" w:rsidRPr="0032671D" w:rsidRDefault="00EE41E6" w:rsidP="00EE41E6">
      <w:pPr>
        <w:spacing w:after="0" w:line="240" w:lineRule="auto"/>
        <w:jc w:val="center"/>
        <w:rPr>
          <w:b/>
          <w:color w:val="auto"/>
          <w:sz w:val="22"/>
        </w:rPr>
      </w:pPr>
      <w:r w:rsidRPr="0032671D">
        <w:rPr>
          <w:b/>
          <w:color w:val="auto"/>
          <w:sz w:val="22"/>
        </w:rPr>
        <w:t xml:space="preserve">If you need assistance with meeting these minimum standards, please contact </w:t>
      </w:r>
    </w:p>
    <w:p w14:paraId="732FCD08" w14:textId="77777777" w:rsidR="00EE41E6" w:rsidRPr="0032671D" w:rsidRDefault="00EE41E6" w:rsidP="00EE41E6">
      <w:pPr>
        <w:spacing w:after="0" w:line="240" w:lineRule="auto"/>
        <w:jc w:val="center"/>
        <w:rPr>
          <w:b/>
          <w:sz w:val="22"/>
        </w:rPr>
      </w:pPr>
      <w:r w:rsidRPr="0032671D">
        <w:rPr>
          <w:b/>
          <w:color w:val="auto"/>
          <w:sz w:val="22"/>
        </w:rPr>
        <w:t xml:space="preserve">Diana T. Myers &amp; Associates, Inc. (DMA) at </w:t>
      </w:r>
      <w:hyperlink r:id="rId9" w:history="1">
        <w:r w:rsidRPr="0032671D">
          <w:rPr>
            <w:rStyle w:val="Hyperlink"/>
            <w:b/>
            <w:sz w:val="22"/>
            <w:u w:val="none"/>
          </w:rPr>
          <w:t>pahomelesscount@dma-housing.com</w:t>
        </w:r>
      </w:hyperlink>
    </w:p>
    <w:sectPr w:rsidR="00EE41E6" w:rsidRPr="0032671D" w:rsidSect="00EE41E6">
      <w:footerReference w:type="default" r:id="rId10"/>
      <w:pgSz w:w="12240" w:h="15840" w:code="1"/>
      <w:pgMar w:top="1152" w:right="1440" w:bottom="1152"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3973" w14:textId="77777777" w:rsidR="00E33291" w:rsidRDefault="00E33291">
      <w:pPr>
        <w:spacing w:after="0" w:line="240" w:lineRule="auto"/>
      </w:pPr>
      <w:r>
        <w:separator/>
      </w:r>
    </w:p>
  </w:endnote>
  <w:endnote w:type="continuationSeparator" w:id="0">
    <w:p w14:paraId="13BECD6A" w14:textId="77777777" w:rsidR="00E33291" w:rsidRDefault="00E3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FF40" w14:textId="77777777" w:rsidR="0032671D" w:rsidRDefault="0032671D">
    <w:pPr>
      <w:pStyle w:val="Footer"/>
    </w:pPr>
    <w:r>
      <w:rPr>
        <w:lang w:eastAsia="en-US"/>
      </w:rPr>
      <mc:AlternateContent>
        <mc:Choice Requires="wps">
          <w:drawing>
            <wp:anchor distT="0" distB="0" distL="114300" distR="114300" simplePos="0" relativeHeight="251659264" behindDoc="0" locked="0" layoutInCell="1" allowOverlap="1" wp14:anchorId="2A50F7E4" wp14:editId="7F42C07D">
              <wp:simplePos x="0" y="0"/>
              <wp:positionH relativeFrom="leftMargin">
                <wp:posOffset>571499</wp:posOffset>
              </wp:positionH>
              <wp:positionV relativeFrom="bottomMargin">
                <wp:posOffset>-2540</wp:posOffset>
              </wp:positionV>
              <wp:extent cx="2905125" cy="182880"/>
              <wp:effectExtent l="0" t="0" r="9525" b="11430"/>
              <wp:wrapNone/>
              <wp:docPr id="22" name="Text Box 22"/>
              <wp:cNvGraphicFramePr/>
              <a:graphic xmlns:a="http://schemas.openxmlformats.org/drawingml/2006/main">
                <a:graphicData uri="http://schemas.microsoft.com/office/word/2010/wordprocessingShape">
                  <wps:wsp>
                    <wps:cNvSpPr txBox="1"/>
                    <wps:spPr>
                      <a:xfrm>
                        <a:off x="0" y="0"/>
                        <a:ext cx="290512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B745C" w14:textId="77777777" w:rsidR="00D32139" w:rsidRDefault="0032671D" w:rsidP="0032671D">
                          <w:pPr>
                            <w:pStyle w:val="Footer"/>
                            <w:jc w:val="left"/>
                          </w:pPr>
                          <w:r>
                            <w:t xml:space="preserve">Attachment A - </w:t>
                          </w:r>
                          <w:r w:rsidR="0090058C">
                            <w:fldChar w:fldCharType="begin"/>
                          </w:r>
                          <w:r w:rsidR="0090058C">
                            <w:instrText xml:space="preserve"> PAGE   \* MERGEFORMAT </w:instrText>
                          </w:r>
                          <w:r w:rsidR="0090058C">
                            <w:fldChar w:fldCharType="separate"/>
                          </w:r>
                          <w:r>
                            <w:t>1</w:t>
                          </w:r>
                          <w:r w:rsidR="0090058C">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45pt;margin-top:-.2pt;width:228.75pt;height:14.4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" filled="f" stroked="f" strokeweight=".5pt">
              <v:textbox style="mso-fit-shape-to-text:t" inset="0,0,0,0">
                <w:txbxContent>
                  <w:p w:rsidR="00D32139" w:rsidRDefault="0032671D" w:rsidP="0032671D">
                    <w:pPr>
                      <w:pStyle w:val="Footer"/>
                      <w:jc w:val="left"/>
                    </w:pPr>
                    <w:r>
                      <w:t xml:space="preserve">Attachment A - </w:t>
                    </w:r>
                    <w:r w:rsidR="0090058C">
                      <w:fldChar w:fldCharType="begin"/>
                    </w:r>
                    <w:r w:rsidR="0090058C">
                      <w:instrText xml:space="preserve"> PAGE   \* MERGEFORMAT </w:instrText>
                    </w:r>
                    <w:r w:rsidR="0090058C">
                      <w:fldChar w:fldCharType="separate"/>
                    </w:r>
                    <w:r>
                      <w:t>1</w:t>
                    </w:r>
                    <w:r w:rsidR="0090058C">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5DB0" w14:textId="77777777" w:rsidR="00E33291" w:rsidRDefault="00E33291">
      <w:pPr>
        <w:spacing w:after="0" w:line="240" w:lineRule="auto"/>
      </w:pPr>
      <w:r>
        <w:separator/>
      </w:r>
    </w:p>
  </w:footnote>
  <w:footnote w:type="continuationSeparator" w:id="0">
    <w:p w14:paraId="2624BA46" w14:textId="77777777" w:rsidR="00E33291" w:rsidRDefault="00E33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6539"/>
    <w:multiLevelType w:val="hybridMultilevel"/>
    <w:tmpl w:val="D4DA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772BC"/>
    <w:multiLevelType w:val="hybridMultilevel"/>
    <w:tmpl w:val="C3623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C33B4"/>
    <w:multiLevelType w:val="hybridMultilevel"/>
    <w:tmpl w:val="853A8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4E31D5"/>
    <w:multiLevelType w:val="hybridMultilevel"/>
    <w:tmpl w:val="E8D01FE2"/>
    <w:lvl w:ilvl="0" w:tplc="987C3D50">
      <w:start w:val="1"/>
      <w:numFmt w:val="bullet"/>
      <w:lvlText w:val=" "/>
      <w:lvlJc w:val="left"/>
      <w:pPr>
        <w:tabs>
          <w:tab w:val="num" w:pos="360"/>
        </w:tabs>
        <w:ind w:left="360" w:hanging="360"/>
      </w:pPr>
      <w:rPr>
        <w:rFonts w:ascii="Calibri" w:hAnsi="Calibri" w:hint="default"/>
      </w:rPr>
    </w:lvl>
    <w:lvl w:ilvl="1" w:tplc="79E4A540">
      <w:start w:val="22"/>
      <w:numFmt w:val="bullet"/>
      <w:lvlText w:val=""/>
      <w:lvlJc w:val="left"/>
      <w:pPr>
        <w:tabs>
          <w:tab w:val="num" w:pos="1080"/>
        </w:tabs>
        <w:ind w:left="1080" w:hanging="360"/>
      </w:pPr>
      <w:rPr>
        <w:rFonts w:ascii="Wingdings" w:hAnsi="Wingdings" w:hint="default"/>
      </w:rPr>
    </w:lvl>
    <w:lvl w:ilvl="2" w:tplc="F176D648" w:tentative="1">
      <w:start w:val="1"/>
      <w:numFmt w:val="bullet"/>
      <w:lvlText w:val=" "/>
      <w:lvlJc w:val="left"/>
      <w:pPr>
        <w:tabs>
          <w:tab w:val="num" w:pos="1800"/>
        </w:tabs>
        <w:ind w:left="1800" w:hanging="360"/>
      </w:pPr>
      <w:rPr>
        <w:rFonts w:ascii="Calibri" w:hAnsi="Calibri" w:hint="default"/>
      </w:rPr>
    </w:lvl>
    <w:lvl w:ilvl="3" w:tplc="02E8FA84" w:tentative="1">
      <w:start w:val="1"/>
      <w:numFmt w:val="bullet"/>
      <w:lvlText w:val=" "/>
      <w:lvlJc w:val="left"/>
      <w:pPr>
        <w:tabs>
          <w:tab w:val="num" w:pos="2520"/>
        </w:tabs>
        <w:ind w:left="2520" w:hanging="360"/>
      </w:pPr>
      <w:rPr>
        <w:rFonts w:ascii="Calibri" w:hAnsi="Calibri" w:hint="default"/>
      </w:rPr>
    </w:lvl>
    <w:lvl w:ilvl="4" w:tplc="2D3CA098" w:tentative="1">
      <w:start w:val="1"/>
      <w:numFmt w:val="bullet"/>
      <w:lvlText w:val=" "/>
      <w:lvlJc w:val="left"/>
      <w:pPr>
        <w:tabs>
          <w:tab w:val="num" w:pos="3240"/>
        </w:tabs>
        <w:ind w:left="3240" w:hanging="360"/>
      </w:pPr>
      <w:rPr>
        <w:rFonts w:ascii="Calibri" w:hAnsi="Calibri" w:hint="default"/>
      </w:rPr>
    </w:lvl>
    <w:lvl w:ilvl="5" w:tplc="61E06B00" w:tentative="1">
      <w:start w:val="1"/>
      <w:numFmt w:val="bullet"/>
      <w:lvlText w:val=" "/>
      <w:lvlJc w:val="left"/>
      <w:pPr>
        <w:tabs>
          <w:tab w:val="num" w:pos="3960"/>
        </w:tabs>
        <w:ind w:left="3960" w:hanging="360"/>
      </w:pPr>
      <w:rPr>
        <w:rFonts w:ascii="Calibri" w:hAnsi="Calibri" w:hint="default"/>
      </w:rPr>
    </w:lvl>
    <w:lvl w:ilvl="6" w:tplc="5434E190" w:tentative="1">
      <w:start w:val="1"/>
      <w:numFmt w:val="bullet"/>
      <w:lvlText w:val=" "/>
      <w:lvlJc w:val="left"/>
      <w:pPr>
        <w:tabs>
          <w:tab w:val="num" w:pos="4680"/>
        </w:tabs>
        <w:ind w:left="4680" w:hanging="360"/>
      </w:pPr>
      <w:rPr>
        <w:rFonts w:ascii="Calibri" w:hAnsi="Calibri" w:hint="default"/>
      </w:rPr>
    </w:lvl>
    <w:lvl w:ilvl="7" w:tplc="FDA43016" w:tentative="1">
      <w:start w:val="1"/>
      <w:numFmt w:val="bullet"/>
      <w:lvlText w:val=" "/>
      <w:lvlJc w:val="left"/>
      <w:pPr>
        <w:tabs>
          <w:tab w:val="num" w:pos="5400"/>
        </w:tabs>
        <w:ind w:left="5400" w:hanging="360"/>
      </w:pPr>
      <w:rPr>
        <w:rFonts w:ascii="Calibri" w:hAnsi="Calibri" w:hint="default"/>
      </w:rPr>
    </w:lvl>
    <w:lvl w:ilvl="8" w:tplc="39748CFE" w:tentative="1">
      <w:start w:val="1"/>
      <w:numFmt w:val="bullet"/>
      <w:lvlText w:val=" "/>
      <w:lvlJc w:val="left"/>
      <w:pPr>
        <w:tabs>
          <w:tab w:val="num" w:pos="6120"/>
        </w:tabs>
        <w:ind w:left="6120" w:hanging="360"/>
      </w:pPr>
      <w:rPr>
        <w:rFonts w:ascii="Calibri" w:hAnsi="Calibri" w:hint="default"/>
      </w:rPr>
    </w:lvl>
  </w:abstractNum>
  <w:abstractNum w:abstractNumId="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E2BF8"/>
    <w:multiLevelType w:val="hybridMultilevel"/>
    <w:tmpl w:val="FF7E2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6"/>
    <w:lvlOverride w:ilvl="0">
      <w:startOverride w:val="1"/>
    </w:lvlOverride>
  </w:num>
  <w:num w:numId="4">
    <w:abstractNumId w:val="1"/>
  </w:num>
  <w:num w:numId="5">
    <w:abstractNumId w:val="7"/>
  </w:num>
  <w:num w:numId="6">
    <w:abstractNumId w:val="3"/>
  </w:num>
  <w:num w:numId="7">
    <w:abstractNumId w:val="1"/>
  </w:num>
  <w:num w:numId="8">
    <w:abstractNumId w:val="2"/>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91"/>
    <w:rsid w:val="000E16E5"/>
    <w:rsid w:val="000E311E"/>
    <w:rsid w:val="0015351C"/>
    <w:rsid w:val="00170BCD"/>
    <w:rsid w:val="001A50F1"/>
    <w:rsid w:val="0023104B"/>
    <w:rsid w:val="002E6DBC"/>
    <w:rsid w:val="00317C02"/>
    <w:rsid w:val="0032671D"/>
    <w:rsid w:val="003C0F82"/>
    <w:rsid w:val="00410EA2"/>
    <w:rsid w:val="006048BA"/>
    <w:rsid w:val="00654AE8"/>
    <w:rsid w:val="00683C5F"/>
    <w:rsid w:val="00711FF2"/>
    <w:rsid w:val="007359A7"/>
    <w:rsid w:val="0075593F"/>
    <w:rsid w:val="00856E5D"/>
    <w:rsid w:val="00893C56"/>
    <w:rsid w:val="008C1C42"/>
    <w:rsid w:val="0090058C"/>
    <w:rsid w:val="009251CC"/>
    <w:rsid w:val="009B5EF7"/>
    <w:rsid w:val="009B65EC"/>
    <w:rsid w:val="00A07E14"/>
    <w:rsid w:val="00A132EF"/>
    <w:rsid w:val="00A30DE1"/>
    <w:rsid w:val="00AD1B77"/>
    <w:rsid w:val="00AF0D13"/>
    <w:rsid w:val="00B20F47"/>
    <w:rsid w:val="00B359BB"/>
    <w:rsid w:val="00BB203E"/>
    <w:rsid w:val="00C0175A"/>
    <w:rsid w:val="00C41C6A"/>
    <w:rsid w:val="00C62CD1"/>
    <w:rsid w:val="00CD7DF5"/>
    <w:rsid w:val="00D32139"/>
    <w:rsid w:val="00D400CC"/>
    <w:rsid w:val="00D467C8"/>
    <w:rsid w:val="00DB3003"/>
    <w:rsid w:val="00DB7E83"/>
    <w:rsid w:val="00E33291"/>
    <w:rsid w:val="00E66388"/>
    <w:rsid w:val="00E82672"/>
    <w:rsid w:val="00EE25A0"/>
    <w:rsid w:val="00EE41E6"/>
    <w:rsid w:val="00F21978"/>
    <w:rsid w:val="00FF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EE223"/>
  <w15:chartTrackingRefBased/>
  <w15:docId w15:val="{621640CF-3244-4D4E-BE7B-D259B6B2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E33291"/>
    <w:pPr>
      <w:ind w:left="720"/>
      <w:contextualSpacing/>
    </w:pPr>
  </w:style>
  <w:style w:type="character" w:styleId="Hyperlink">
    <w:name w:val="Hyperlink"/>
    <w:basedOn w:val="DefaultParagraphFont"/>
    <w:uiPriority w:val="99"/>
    <w:unhideWhenUsed/>
    <w:rsid w:val="00DB3003"/>
    <w:rPr>
      <w:color w:val="0000FF"/>
      <w:u w:val="single"/>
    </w:rPr>
  </w:style>
  <w:style w:type="paragraph" w:styleId="BalloonText">
    <w:name w:val="Balloon Text"/>
    <w:basedOn w:val="Normal"/>
    <w:link w:val="BalloonTextChar"/>
    <w:uiPriority w:val="99"/>
    <w:semiHidden/>
    <w:unhideWhenUsed/>
    <w:rsid w:val="0090058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058C"/>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8033">
      <w:bodyDiv w:val="1"/>
      <w:marLeft w:val="0"/>
      <w:marRight w:val="0"/>
      <w:marTop w:val="0"/>
      <w:marBottom w:val="0"/>
      <w:divBdr>
        <w:top w:val="none" w:sz="0" w:space="0" w:color="auto"/>
        <w:left w:val="none" w:sz="0" w:space="0" w:color="auto"/>
        <w:bottom w:val="none" w:sz="0" w:space="0" w:color="auto"/>
        <w:right w:val="none" w:sz="0" w:space="0" w:color="auto"/>
      </w:divBdr>
      <w:divsChild>
        <w:div w:id="1018655605">
          <w:marLeft w:val="144"/>
          <w:marRight w:val="0"/>
          <w:marTop w:val="240"/>
          <w:marBottom w:val="40"/>
          <w:divBdr>
            <w:top w:val="none" w:sz="0" w:space="0" w:color="auto"/>
            <w:left w:val="none" w:sz="0" w:space="0" w:color="auto"/>
            <w:bottom w:val="none" w:sz="0" w:space="0" w:color="auto"/>
            <w:right w:val="none" w:sz="0" w:space="0" w:color="auto"/>
          </w:divBdr>
        </w:div>
        <w:div w:id="1473644021">
          <w:marLeft w:val="605"/>
          <w:marRight w:val="0"/>
          <w:marTop w:val="40"/>
          <w:marBottom w:val="80"/>
          <w:divBdr>
            <w:top w:val="none" w:sz="0" w:space="0" w:color="auto"/>
            <w:left w:val="none" w:sz="0" w:space="0" w:color="auto"/>
            <w:bottom w:val="none" w:sz="0" w:space="0" w:color="auto"/>
            <w:right w:val="none" w:sz="0" w:space="0" w:color="auto"/>
          </w:divBdr>
        </w:div>
        <w:div w:id="1100369384">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ahomelesscount@dma-hous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h.DTMA\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E1DF2758245BB9E76392E8AB38FB0"/>
        <w:category>
          <w:name w:val="General"/>
          <w:gallery w:val="placeholder"/>
        </w:category>
        <w:types>
          <w:type w:val="bbPlcHdr"/>
        </w:types>
        <w:behaviors>
          <w:behavior w:val="content"/>
        </w:behaviors>
        <w:guid w:val="{EAB62B07-480C-43F5-B71A-36A9AA908275}"/>
      </w:docPartPr>
      <w:docPartBody>
        <w:p w:rsidR="00BF7865" w:rsidRDefault="002228DB">
          <w:pPr>
            <w:pStyle w:val="9B6E1DF2758245BB9E76392E8AB38FB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DB"/>
    <w:rsid w:val="002228DB"/>
    <w:rsid w:val="00B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A33796E9747A1B4AD262E0BAF8FD6">
    <w:name w:val="D80A33796E9747A1B4AD262E0BAF8FD6"/>
  </w:style>
  <w:style w:type="paragraph" w:customStyle="1" w:styleId="B3211D246E4F4D64887391DF7820990D">
    <w:name w:val="B3211D246E4F4D64887391DF7820990D"/>
  </w:style>
  <w:style w:type="character" w:styleId="PlaceholderText">
    <w:name w:val="Placeholder Text"/>
    <w:basedOn w:val="DefaultParagraphFont"/>
    <w:uiPriority w:val="99"/>
    <w:semiHidden/>
    <w:rsid w:val="002228DB"/>
    <w:rPr>
      <w:color w:val="808080"/>
    </w:rPr>
  </w:style>
  <w:style w:type="paragraph" w:customStyle="1" w:styleId="9B6E1DF2758245BB9E76392E8AB38FB0">
    <w:name w:val="9B6E1DF2758245BB9E76392E8AB38FB0"/>
  </w:style>
  <w:style w:type="paragraph" w:customStyle="1" w:styleId="779C1982BA394A53AD0BABD36C917ACA">
    <w:name w:val="779C1982BA394A53AD0BABD36C917ACA"/>
    <w:rsid w:val="00222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9DE8BFEB-7CB6-4170-910B-0DEF0454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4</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Howard</dc:creator>
  <cp:keywords/>
  <cp:lastModifiedBy>Jessica Sones</cp:lastModifiedBy>
  <cp:revision>3</cp:revision>
  <cp:lastPrinted>2016-12-14T03:36:00Z</cp:lastPrinted>
  <dcterms:created xsi:type="dcterms:W3CDTF">2019-11-06T14:49:00Z</dcterms:created>
  <dcterms:modified xsi:type="dcterms:W3CDTF">2019-11-06T14:54:00Z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